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国家税务总局明光市税务局职工食堂劳务外包服务采购项目</w:t>
      </w:r>
      <w:r>
        <w:rPr>
          <w:rFonts w:hint="eastAsia" w:ascii="宋体" w:hAnsi="宋体" w:eastAsia="宋体" w:cs="宋体"/>
        </w:rPr>
        <w:t>竞争性磋商公告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安徽百士德工程咨询有限公司</w:t>
      </w:r>
      <w:r>
        <w:rPr>
          <w:rFonts w:hint="eastAsia" w:ascii="宋体" w:hAnsi="宋体" w:eastAsia="宋体" w:cs="宋体"/>
          <w:sz w:val="24"/>
          <w:szCs w:val="24"/>
        </w:rPr>
        <w:t>受采购人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国家税务总局明光市税务局</w:t>
      </w:r>
      <w:r>
        <w:rPr>
          <w:rFonts w:hint="eastAsia" w:ascii="宋体" w:hAnsi="宋体" w:eastAsia="宋体" w:cs="宋体"/>
          <w:sz w:val="24"/>
          <w:szCs w:val="24"/>
        </w:rPr>
        <w:t>委托，对其所需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国家税务总局明光市税务局职工食堂劳务外包服务采购项目</w:t>
      </w:r>
      <w:r>
        <w:rPr>
          <w:rFonts w:hint="eastAsia" w:ascii="宋体" w:hAnsi="宋体" w:eastAsia="宋体" w:cs="宋体"/>
          <w:sz w:val="24"/>
          <w:szCs w:val="24"/>
        </w:rPr>
        <w:t>服务进行竞争性磋商采购，请符合资格条件的供应商参加磋商。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2689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项目名称及内容</w:t>
      </w:r>
      <w:bookmarkEnd w:id="0"/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mgsswjzxcg2019-002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项目名称：国家税务总局明光市税务局职工食堂劳务外包服务采购项目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国家税务总局明光市税务局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资金来源：财政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资金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项目预算：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人民币50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万元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项目类别：政府采购服务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标段（包别）划分：共分1个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>包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采购方式：竞争性磋商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项目概况：国家税务总局明光市税务局职工食堂，就餐职工人数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，设备设施齐全，水、电、天然气等配套设施到位。现招租一家餐饮管理服务公司，为本单位职工提供工作餐及公务接待等餐饮劳务服务。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服务内容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（一）提供早餐、中午工作餐；（周一至周五）。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（二）根据需要承担公务接待餐饮服务。</w:t>
      </w:r>
    </w:p>
    <w:p>
      <w:pPr>
        <w:pStyle w:val="6"/>
        <w:ind w:firstLine="48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（三）临时性不定时工作餐等服务。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三、服务期限：二年。服务期满，合同终止，按规定另行招标。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四、预算投资额为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万元/每年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五、付款方式：按中标价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1/12标准分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月于次月支付上月劳务承包费用。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1</w:t>
      </w:r>
      <w:r>
        <w:rPr>
          <w:rFonts w:hint="eastAsia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投标人具有经</w:t>
      </w:r>
      <w:r>
        <w:rPr>
          <w:rFonts w:hint="eastAsia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市场监督管理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部门注册的餐饮企业</w:t>
      </w:r>
      <w:r>
        <w:rPr>
          <w:rFonts w:hint="eastAsia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营业执照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，经营范围与本次需求匹配并具备食堂（或酒店）托管从业经验；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2、配备的厨师具有中式烹饪师技师证书；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3、近三年来无食品安全事故及不良记录承诺书；承诺中标后7日内取得配备的从业人员健康证；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4、投标人须提供投标企业及法定代表人（或负责人） “近三年无行贿行为承诺书”；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5、据《最高人民法院关于公布失信被执行人名单信息的若干规定（法释[2013]17号）》第六条规定，投标人及其法定代表人（或负责人）在人民法院公布的失信被执行人名单中不得参加投标；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 w:color="000000"/>
          <w:lang w:val="en-US" w:eastAsia="zh-CN" w:bidi="ar-SA"/>
        </w:rPr>
        <w:t>6、本项目不接受联合投标体。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本次采购采取资格后审方式，资格审查将在开标后由磋商小组审查。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_Toc237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报名及磋商文件发售办法</w:t>
      </w:r>
      <w:bookmarkEnd w:id="1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1、磋商文件发售时间：</w:t>
      </w:r>
      <w:r>
        <w:rPr>
          <w:rFonts w:hint="eastAsia" w:ascii="宋体" w:hAnsi="宋体" w:cs="宋体"/>
          <w:bCs/>
          <w:color w:val="FF0000"/>
          <w:sz w:val="24"/>
          <w:szCs w:val="24"/>
          <w:lang w:eastAsia="zh-CN"/>
        </w:rPr>
        <w:t>2019 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cs="宋体"/>
          <w:bCs/>
          <w:color w:val="FF000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0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日 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至 201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年 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月 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 xml:space="preserve"> 日 17时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2、磋商文件价格：每套人民币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bCs/>
          <w:sz w:val="24"/>
          <w:szCs w:val="24"/>
        </w:rPr>
        <w:t>元整，磋商文件售后不退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3、报名方式：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本次采用竞争性磋商方式在报价前需要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前往代理机构</w:t>
      </w:r>
      <w:r>
        <w:rPr>
          <w:rFonts w:hint="eastAsia" w:ascii="宋体" w:hAnsi="宋体" w:eastAsia="宋体" w:cs="宋体"/>
          <w:bCs/>
          <w:sz w:val="24"/>
          <w:szCs w:val="24"/>
        </w:rPr>
        <w:t>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（代理机构：安徽百士德工程咨询有限公司，电话：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13955010538，联系人：罗道群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，企业报名成功后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可取得</w:t>
      </w:r>
      <w:r>
        <w:rPr>
          <w:rFonts w:hint="eastAsia" w:ascii="宋体" w:hAnsi="宋体" w:eastAsia="宋体" w:cs="宋体"/>
          <w:bCs/>
          <w:sz w:val="24"/>
          <w:szCs w:val="24"/>
        </w:rPr>
        <w:t>磋商文件及其它资料（含答疑或相关说明），未报名并未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取得</w:t>
      </w:r>
      <w:r>
        <w:rPr>
          <w:rFonts w:hint="eastAsia" w:ascii="宋体" w:hAnsi="宋体" w:eastAsia="宋体" w:cs="宋体"/>
          <w:bCs/>
          <w:sz w:val="24"/>
          <w:szCs w:val="24"/>
        </w:rPr>
        <w:t>磋商文件的投标按无效标处理。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2" w:name="_Toc1588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磋商时间及地点</w:t>
      </w:r>
      <w:bookmarkEnd w:id="2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1.磋商时间：2019 年0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月2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 xml:space="preserve">日 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:00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2.磋商地点：国家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税务总局明光市税务局会议室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bookmarkStart w:id="3" w:name="_Toc1554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响应文件提交截止时间</w:t>
      </w:r>
      <w:bookmarkEnd w:id="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bookmarkStart w:id="6" w:name="_GoBack"/>
      <w:bookmarkEnd w:id="6"/>
      <w:r>
        <w:rPr>
          <w:rFonts w:hint="eastAsia" w:ascii="宋体" w:hAnsi="宋体" w:eastAsia="宋体" w:cs="宋体"/>
          <w:bCs/>
          <w:sz w:val="24"/>
          <w:szCs w:val="24"/>
        </w:rPr>
        <w:t>同磋商时间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4" w:name="_Toc1584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联系方法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项目单位：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国家税务总局明光市税务局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联 系 人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谢红梅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13855093468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代理机构：安徽百士德工程咨询有限公司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联 系 人：罗道群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联系电话：13955010538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5" w:name="_Toc165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其他事项说明</w:t>
      </w:r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1.报名的供应商可在报名后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领取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磋商文件。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2.供应商必须在报名截止时间前网上报名。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3.报名中有任何疑问或问题，请在工作时间（周一至周五，上午9:00-12:00，下午13:30-17:00，节假日休息）与项目联系人联系。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B6CFD"/>
    <w:multiLevelType w:val="singleLevel"/>
    <w:tmpl w:val="9E0B6CF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C24FD"/>
    <w:rsid w:val="050656B7"/>
    <w:rsid w:val="618A11AF"/>
    <w:rsid w:val="738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  <w:rPr>
      <w:rFonts w:hint="eastAsia" w:ascii="Calibri" w:hAnsi="Calibri" w:eastAsia="宋体"/>
      <w:kern w:val="2"/>
      <w:sz w:val="22"/>
      <w:lang w:val="en-US" w:eastAsia="zh-CN"/>
    </w:rPr>
  </w:style>
  <w:style w:type="paragraph" w:styleId="5">
    <w:name w:val="Body Text Indent"/>
    <w:basedOn w:val="1"/>
    <w:next w:val="6"/>
    <w:uiPriority w:val="0"/>
    <w:pPr>
      <w:ind w:firstLine="630"/>
    </w:pPr>
    <w:rPr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2019-10-14T10:24:00Z</dcterms:created>
  <dc:creator>NTKO</dc:creator>
  <cp:lastModifiedBy>NTKO</cp:lastModifiedBy>
  <cp:lastPrinted>2019-10-14T10:26:59Z</cp:lastPrinted>
  <dcterms:modified xsi:type="dcterms:W3CDTF">2019-10-14T10:27:07Z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