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highlight w:val="none"/>
          <w:lang w:eastAsia="zh-CN"/>
        </w:rPr>
      </w:pPr>
      <w:r>
        <w:rPr>
          <w:rFonts w:hint="eastAsia"/>
          <w:color w:val="auto"/>
          <w:highlight w:val="none"/>
          <w:lang w:eastAsia="zh-CN"/>
        </w:rPr>
        <w:t>明光市人民医院数字图书馆平台采购项目</w:t>
      </w:r>
    </w:p>
    <w:p>
      <w:pPr>
        <w:pStyle w:val="3"/>
        <w:rPr>
          <w:rFonts w:hint="eastAsia"/>
          <w:color w:val="auto"/>
          <w:highlight w:val="none"/>
        </w:rPr>
      </w:pPr>
      <w:r>
        <w:rPr>
          <w:rFonts w:hint="eastAsia"/>
          <w:color w:val="auto"/>
          <w:highlight w:val="none"/>
        </w:rPr>
        <w:t>招标公告</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u w:val="single" w:color="auto"/>
          <w:lang w:eastAsia="zh-CN"/>
        </w:rPr>
        <w:t>安徽百士德工程咨询有限公司</w:t>
      </w:r>
      <w:r>
        <w:rPr>
          <w:rFonts w:hint="eastAsia" w:ascii="宋体" w:hAnsi="宋体" w:cs="宋体"/>
          <w:sz w:val="24"/>
          <w:szCs w:val="24"/>
        </w:rPr>
        <w:t>受</w:t>
      </w:r>
      <w:r>
        <w:rPr>
          <w:rFonts w:hint="eastAsia" w:ascii="宋体" w:hAnsi="宋体" w:cs="宋体"/>
          <w:sz w:val="24"/>
          <w:szCs w:val="24"/>
          <w:u w:val="single" w:color="auto"/>
          <w:lang w:eastAsia="zh-CN"/>
        </w:rPr>
        <w:t>明光市人民医院</w:t>
      </w:r>
      <w:r>
        <w:rPr>
          <w:rFonts w:hint="eastAsia" w:ascii="宋体" w:hAnsi="宋体" w:cs="宋体"/>
          <w:sz w:val="24"/>
          <w:szCs w:val="24"/>
        </w:rPr>
        <w:t>的委托，现对</w:t>
      </w:r>
      <w:r>
        <w:rPr>
          <w:rFonts w:hint="eastAsia" w:ascii="宋体" w:hAnsi="宋体" w:cs="宋体"/>
          <w:sz w:val="24"/>
          <w:szCs w:val="24"/>
          <w:u w:val="single" w:color="auto"/>
          <w:lang w:eastAsia="zh-CN"/>
        </w:rPr>
        <w:t>明光市人民医院数字图书馆平台采购项目</w:t>
      </w:r>
      <w:r>
        <w:rPr>
          <w:rFonts w:hint="eastAsia" w:ascii="宋体" w:hAnsi="宋体" w:cs="宋体"/>
          <w:sz w:val="24"/>
          <w:szCs w:val="24"/>
        </w:rPr>
        <w:t>进行公开招标，欢迎具备条件的国内投标供应商参加投标。</w:t>
      </w:r>
    </w:p>
    <w:p>
      <w:pPr>
        <w:pStyle w:val="9"/>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一、项目名称及内容</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 xml:space="preserve">1、项目编号：     </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2、项目名称：</w:t>
      </w:r>
      <w:r>
        <w:rPr>
          <w:rFonts w:hint="eastAsia" w:ascii="宋体" w:hAnsi="宋体" w:cs="宋体"/>
          <w:sz w:val="24"/>
          <w:szCs w:val="24"/>
          <w:lang w:eastAsia="zh-CN"/>
        </w:rPr>
        <w:t>明光市人民医院数字图书馆平台采购项目</w:t>
      </w:r>
      <w:r>
        <w:rPr>
          <w:rFonts w:hint="eastAsia" w:ascii="宋体" w:hAnsi="宋体" w:cs="宋体"/>
          <w:sz w:val="24"/>
          <w:szCs w:val="24"/>
        </w:rPr>
        <w:t xml:space="preserve">                        </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3、项目单位：</w:t>
      </w:r>
      <w:r>
        <w:rPr>
          <w:rFonts w:hint="eastAsia" w:ascii="宋体" w:hAnsi="宋体" w:cs="宋体"/>
          <w:sz w:val="24"/>
          <w:szCs w:val="24"/>
          <w:lang w:eastAsia="zh-CN"/>
        </w:rPr>
        <w:t>明光市人民医院</w:t>
      </w:r>
      <w:r>
        <w:rPr>
          <w:rFonts w:hint="eastAsia" w:ascii="宋体" w:hAnsi="宋体" w:cs="宋体"/>
          <w:sz w:val="24"/>
          <w:szCs w:val="24"/>
        </w:rPr>
        <w:t xml:space="preserve">                         </w:t>
      </w:r>
    </w:p>
    <w:p>
      <w:pPr>
        <w:shd w:val="clear" w:color="auto" w:fill="FFFFFF"/>
        <w:spacing w:line="36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sz w:val="24"/>
          <w:szCs w:val="24"/>
        </w:rPr>
        <w:t>4、</w:t>
      </w:r>
      <w:r>
        <w:rPr>
          <w:rFonts w:hint="eastAsia" w:ascii="宋体" w:hAnsi="宋体" w:cs="宋体"/>
          <w:color w:val="000000" w:themeColor="text1"/>
          <w:sz w:val="24"/>
          <w:szCs w:val="24"/>
          <w:highlight w:val="none"/>
          <w14:textFill>
            <w14:solidFill>
              <w14:schemeClr w14:val="tx1"/>
            </w14:solidFill>
          </w14:textFill>
        </w:rPr>
        <w:t>资金来源</w:t>
      </w:r>
      <w:r>
        <w:rPr>
          <w:rFonts w:hint="eastAsia" w:ascii="宋体" w:hAnsi="宋体" w:cs="宋体"/>
          <w:color w:val="C00000"/>
          <w:sz w:val="24"/>
          <w:szCs w:val="24"/>
          <w:highlight w:val="none"/>
        </w:rPr>
        <w:t>：</w:t>
      </w:r>
      <w:r>
        <w:rPr>
          <w:rFonts w:hint="eastAsia" w:ascii="宋体" w:hAnsi="宋体" w:cs="宋体"/>
          <w:color w:val="000000" w:themeColor="text1"/>
          <w:sz w:val="24"/>
          <w:szCs w:val="24"/>
          <w:highlight w:val="none"/>
          <w:lang w:val="en-US" w:eastAsia="zh-CN"/>
          <w14:textFill>
            <w14:solidFill>
              <w14:schemeClr w14:val="tx1"/>
            </w14:solidFill>
          </w14:textFill>
        </w:rPr>
        <w:t>自筹资金</w:t>
      </w:r>
    </w:p>
    <w:p>
      <w:pPr>
        <w:shd w:val="clear" w:color="auto" w:fill="FFFFFF"/>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color w:val="000000" w:themeColor="text1"/>
          <w:sz w:val="24"/>
          <w:szCs w:val="24"/>
          <w:highlight w:val="none"/>
          <w14:textFill>
            <w14:solidFill>
              <w14:schemeClr w14:val="tx1"/>
            </w14:solidFill>
          </w14:textFill>
        </w:rPr>
        <w:t>项目预算</w:t>
      </w:r>
      <w:r>
        <w:rPr>
          <w:rFonts w:hint="eastAsia" w:ascii="宋体" w:hAnsi="宋体" w:cs="宋体"/>
          <w:color w:val="C00000"/>
          <w:sz w:val="24"/>
          <w:szCs w:val="24"/>
          <w:highlight w:val="none"/>
        </w:rPr>
        <w:t>：</w:t>
      </w:r>
      <w:r>
        <w:rPr>
          <w:rFonts w:hint="eastAsia" w:ascii="宋体" w:hAnsi="宋体" w:cs="宋体"/>
          <w:color w:val="000000" w:themeColor="text1"/>
          <w:sz w:val="24"/>
          <w:szCs w:val="24"/>
          <w:highlight w:val="none"/>
          <w:lang w:val="en-US" w:eastAsia="zh-CN"/>
          <w14:textFill>
            <w14:solidFill>
              <w14:schemeClr w14:val="tx1"/>
            </w14:solidFill>
          </w14:textFill>
        </w:rPr>
        <w:t>130000</w:t>
      </w:r>
      <w:r>
        <w:rPr>
          <w:rFonts w:hint="eastAsia" w:ascii="宋体" w:hAnsi="宋体" w:cs="宋体"/>
          <w:sz w:val="24"/>
          <w:szCs w:val="24"/>
          <w:highlight w:val="none"/>
        </w:rPr>
        <w:t>元</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highlight w:val="none"/>
        </w:rPr>
        <w:t>6、最高限价：本项目</w:t>
      </w:r>
      <w:r>
        <w:rPr>
          <w:rFonts w:hint="eastAsia" w:ascii="宋体" w:hAnsi="宋体" w:cs="宋体"/>
          <w:sz w:val="24"/>
          <w:szCs w:val="24"/>
          <w:highlight w:val="none"/>
          <w:lang w:val="en-US" w:eastAsia="zh-CN"/>
        </w:rPr>
        <w:t>采购项目首年最高投标限价10万元</w:t>
      </w:r>
      <w:r>
        <w:rPr>
          <w:rFonts w:hint="eastAsia" w:ascii="宋体" w:hAnsi="宋体" w:cs="宋体"/>
          <w:sz w:val="24"/>
          <w:szCs w:val="24"/>
          <w:highlight w:val="none"/>
        </w:rPr>
        <w:t>，</w:t>
      </w:r>
      <w:r>
        <w:rPr>
          <w:rFonts w:hint="eastAsia" w:ascii="宋体" w:hAnsi="宋体" w:cs="宋体"/>
          <w:sz w:val="24"/>
          <w:szCs w:val="24"/>
          <w:highlight w:val="none"/>
          <w:lang w:val="en-US" w:eastAsia="zh-CN"/>
        </w:rPr>
        <w:t>次年数据更新费及软件维护费限价3万元</w:t>
      </w:r>
      <w:r>
        <w:rPr>
          <w:rFonts w:hint="eastAsia" w:ascii="宋体" w:hAnsi="宋体" w:cs="宋体"/>
          <w:b w:val="0"/>
          <w:bCs/>
          <w:color w:val="000000"/>
          <w:sz w:val="24"/>
          <w:szCs w:val="24"/>
        </w:rPr>
        <w:t>（总报价高于最高限价的，按无效投标处理）</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7、标段（包别）划分：一个标包</w:t>
      </w:r>
      <w:bookmarkStart w:id="3" w:name="_GoBack"/>
      <w:bookmarkEnd w:id="3"/>
    </w:p>
    <w:p>
      <w:pPr>
        <w:pStyle w:val="9"/>
        <w:shd w:val="clear" w:color="auto" w:fill="FFFFFF"/>
        <w:spacing w:before="0" w:beforeAutospacing="0" w:after="0" w:afterAutospacing="0" w:line="400" w:lineRule="atLeast"/>
        <w:ind w:firstLine="480" w:firstLineChars="200"/>
        <w:rPr>
          <w:rFonts w:hint="eastAsia" w:ascii="宋体" w:hAnsi="宋体" w:cs="宋体"/>
          <w:sz w:val="24"/>
          <w:szCs w:val="24"/>
        </w:rPr>
      </w:pPr>
      <w:r>
        <w:rPr>
          <w:rFonts w:hint="eastAsia" w:ascii="宋体" w:hAnsi="宋体" w:cs="宋体"/>
          <w:sz w:val="24"/>
          <w:szCs w:val="24"/>
        </w:rPr>
        <w:t>8、供货时间：合同签订后10日历天内供货、安装、调试完成。</w:t>
      </w:r>
    </w:p>
    <w:p>
      <w:pPr>
        <w:pStyle w:val="9"/>
        <w:shd w:val="clear" w:color="auto" w:fill="FFFFFF"/>
        <w:spacing w:before="0" w:beforeAutospacing="0" w:after="0" w:afterAutospacing="0" w:line="400" w:lineRule="atLeast"/>
        <w:ind w:firstLine="480" w:firstLineChars="200"/>
        <w:rPr>
          <w:rFonts w:hint="eastAsia" w:ascii="宋体" w:hAnsi="宋体" w:cs="宋体"/>
          <w:sz w:val="24"/>
          <w:szCs w:val="24"/>
        </w:rPr>
      </w:pPr>
      <w:r>
        <w:rPr>
          <w:rFonts w:hint="eastAsia" w:ascii="宋体" w:hAnsi="宋体" w:cs="宋体"/>
          <w:sz w:val="24"/>
          <w:szCs w:val="24"/>
        </w:rPr>
        <w:t>9、项目基本概况：采购需求：满足医院要求的基于B/S架构的互联网文献服务，支持电脑端和移动端在线同步查询，具体要求详见</w:t>
      </w:r>
      <w:r>
        <w:rPr>
          <w:rFonts w:hint="eastAsia" w:cs="宋体"/>
          <w:sz w:val="24"/>
          <w:szCs w:val="24"/>
          <w:lang w:eastAsia="zh-CN"/>
        </w:rPr>
        <w:t>招标文件</w:t>
      </w:r>
      <w:r>
        <w:rPr>
          <w:rFonts w:hint="eastAsia" w:ascii="宋体" w:hAnsi="宋体" w:cs="宋体"/>
          <w:sz w:val="24"/>
          <w:szCs w:val="24"/>
        </w:rPr>
        <w:t>。</w:t>
      </w:r>
    </w:p>
    <w:p>
      <w:pPr>
        <w:pStyle w:val="9"/>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二、投标供应商资格</w:t>
      </w:r>
    </w:p>
    <w:p>
      <w:pPr>
        <w:spacing w:line="400" w:lineRule="exact"/>
        <w:ind w:firstLine="560" w:firstLineChars="200"/>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.本项目的特定资格要求：投标人具有是中华人民共和国境内注册独立法人资格，并且具有有效的营业执照、组织机构代码证、税务登记证（或三证合一证件）；</w:t>
      </w:r>
    </w:p>
    <w:p>
      <w:pPr>
        <w:spacing w:line="400" w:lineRule="exact"/>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.信誉要求：投标人不得存在以下情形：</w:t>
      </w:r>
    </w:p>
    <w:p>
      <w:pPr>
        <w:spacing w:line="400" w:lineRule="exact"/>
        <w:ind w:firstLine="560" w:firstLineChars="200"/>
        <w:rPr>
          <w:rFonts w:hint="eastAsia" w:ascii="宋体" w:hAnsi="宋体" w:cs="宋体"/>
          <w:sz w:val="28"/>
          <w:szCs w:val="28"/>
        </w:rPr>
      </w:pPr>
      <w:r>
        <w:rPr>
          <w:rFonts w:hint="eastAsia" w:ascii="宋体" w:hAnsi="宋体" w:cs="宋体"/>
          <w:sz w:val="28"/>
          <w:szCs w:val="28"/>
        </w:rPr>
        <w:t>①投标人被人民法院列入失信被执行人的；</w:t>
      </w:r>
    </w:p>
    <w:p>
      <w:pPr>
        <w:spacing w:line="400" w:lineRule="exact"/>
        <w:ind w:firstLine="560" w:firstLineChars="200"/>
        <w:rPr>
          <w:rFonts w:hint="eastAsia" w:ascii="宋体" w:hAnsi="宋体" w:cs="宋体"/>
          <w:sz w:val="28"/>
          <w:szCs w:val="28"/>
        </w:rPr>
      </w:pPr>
      <w:r>
        <w:rPr>
          <w:rFonts w:hint="eastAsia" w:ascii="宋体" w:hAnsi="宋体" w:cs="宋体"/>
          <w:sz w:val="28"/>
          <w:szCs w:val="28"/>
        </w:rPr>
        <w:t>②投标人或其法定代表人或拟派项目经理（项目负责人）被人民</w:t>
      </w:r>
      <w:r>
        <w:rPr>
          <w:rFonts w:hint="eastAsia" w:ascii="宋体" w:hAnsi="宋体" w:cs="宋体"/>
          <w:sz w:val="28"/>
          <w:szCs w:val="28"/>
          <w:lang w:eastAsia="zh-CN"/>
        </w:rPr>
        <w:t>医院</w:t>
      </w:r>
      <w:r>
        <w:rPr>
          <w:rFonts w:hint="eastAsia" w:ascii="宋体" w:hAnsi="宋体" w:cs="宋体"/>
          <w:sz w:val="28"/>
          <w:szCs w:val="28"/>
        </w:rPr>
        <w:t>列入行贿犯罪档案的；</w:t>
      </w:r>
    </w:p>
    <w:p>
      <w:pPr>
        <w:spacing w:line="400" w:lineRule="exact"/>
        <w:ind w:firstLine="560" w:firstLineChars="200"/>
        <w:rPr>
          <w:rFonts w:hint="eastAsia" w:ascii="宋体" w:hAnsi="宋体" w:cs="宋体"/>
          <w:sz w:val="28"/>
          <w:szCs w:val="28"/>
        </w:rPr>
      </w:pPr>
      <w:r>
        <w:rPr>
          <w:rFonts w:hint="eastAsia" w:ascii="宋体" w:hAnsi="宋体" w:cs="宋体"/>
          <w:sz w:val="28"/>
          <w:szCs w:val="28"/>
        </w:rPr>
        <w:t>③投标人被市场监督管理部门列入经营异常名录或者严重违法企业名单的；</w:t>
      </w:r>
    </w:p>
    <w:p>
      <w:pPr>
        <w:spacing w:line="400" w:lineRule="exact"/>
        <w:ind w:firstLine="560" w:firstLineChars="200"/>
        <w:rPr>
          <w:rFonts w:hint="eastAsia" w:ascii="宋体" w:hAnsi="宋体" w:cs="宋体"/>
          <w:sz w:val="28"/>
          <w:szCs w:val="28"/>
        </w:rPr>
      </w:pPr>
      <w:r>
        <w:rPr>
          <w:rFonts w:hint="eastAsia" w:ascii="宋体" w:hAnsi="宋体" w:cs="宋体"/>
          <w:sz w:val="28"/>
          <w:szCs w:val="28"/>
        </w:rPr>
        <w:t>④投标人被税务部门列入重大税收违法案件当事人的；</w:t>
      </w:r>
    </w:p>
    <w:p>
      <w:pPr>
        <w:spacing w:line="400" w:lineRule="exact"/>
        <w:ind w:firstLine="560" w:firstLineChars="200"/>
        <w:rPr>
          <w:rFonts w:hint="eastAsia" w:ascii="宋体" w:hAnsi="宋体" w:cs="宋体"/>
          <w:sz w:val="28"/>
          <w:szCs w:val="28"/>
        </w:rPr>
      </w:pPr>
      <w:r>
        <w:rPr>
          <w:rFonts w:hint="eastAsia" w:ascii="宋体" w:hAnsi="宋体" w:cs="宋体"/>
          <w:sz w:val="28"/>
          <w:szCs w:val="28"/>
        </w:rPr>
        <w:t>⑤投标人被政府采购监管部门列入政府采购严重违法失信行为记录名单的；</w:t>
      </w:r>
    </w:p>
    <w:p>
      <w:pPr>
        <w:widowControl/>
        <w:shd w:val="clear" w:color="auto" w:fill="FFFFFF"/>
        <w:spacing w:line="400" w:lineRule="exact"/>
        <w:ind w:firstLine="560" w:firstLineChars="200"/>
        <w:jc w:val="left"/>
        <w:rPr>
          <w:rFonts w:hint="eastAsia" w:ascii="宋体" w:hAnsi="宋体" w:cs="宋体"/>
          <w:sz w:val="28"/>
          <w:szCs w:val="28"/>
        </w:rPr>
      </w:pPr>
      <w:r>
        <w:rPr>
          <w:rFonts w:hint="eastAsia" w:ascii="宋体" w:hAnsi="宋体" w:cs="宋体"/>
          <w:sz w:val="28"/>
          <w:szCs w:val="28"/>
        </w:rPr>
        <w:t>⑥在“信用中国”网站上披露仍在公示期的严重失信行为的；</w:t>
      </w:r>
    </w:p>
    <w:p>
      <w:pPr>
        <w:widowControl/>
        <w:shd w:val="clear" w:color="auto" w:fill="FFFFFF"/>
        <w:spacing w:line="400" w:lineRule="exact"/>
        <w:ind w:firstLine="560" w:firstLineChars="200"/>
        <w:jc w:val="left"/>
        <w:rPr>
          <w:rFonts w:hint="eastAsia" w:ascii="宋体" w:hAnsi="宋体" w:cs="宋体"/>
          <w:sz w:val="28"/>
          <w:szCs w:val="28"/>
        </w:rPr>
      </w:pPr>
      <w:r>
        <w:rPr>
          <w:rFonts w:hint="eastAsia" w:ascii="宋体" w:hAnsi="宋体" w:cs="宋体"/>
          <w:sz w:val="28"/>
          <w:szCs w:val="28"/>
        </w:rPr>
        <w:t xml:space="preserve">⑦被滁州市县两级行业主管部门及公管部门禁止在一定期限内参加政府采购活动且在禁止期限内的； </w:t>
      </w:r>
    </w:p>
    <w:p>
      <w:pPr>
        <w:widowControl/>
        <w:shd w:val="clear" w:color="auto" w:fill="FFFFFF"/>
        <w:spacing w:line="400" w:lineRule="exact"/>
        <w:ind w:firstLine="560" w:firstLineChars="200"/>
        <w:jc w:val="left"/>
        <w:rPr>
          <w:rFonts w:hint="eastAsia" w:ascii="宋体" w:hAnsi="宋体" w:cs="宋体"/>
          <w:sz w:val="28"/>
          <w:szCs w:val="28"/>
        </w:rPr>
      </w:pPr>
      <w:r>
        <w:rPr>
          <w:rFonts w:hint="eastAsia" w:ascii="宋体" w:hAnsi="宋体" w:cs="宋体"/>
          <w:sz w:val="28"/>
          <w:szCs w:val="28"/>
        </w:rPr>
        <w:t>⑧被滁州市县两级公管部门记入不良行为记录或者信用信息记录，且在披露期内的；</w:t>
      </w:r>
    </w:p>
    <w:p>
      <w:pPr>
        <w:pStyle w:val="7"/>
        <w:spacing w:line="400" w:lineRule="exact"/>
        <w:ind w:left="0" w:leftChars="0" w:firstLine="560" w:firstLineChars="0"/>
        <w:rPr>
          <w:rFonts w:hint="eastAsia" w:ascii="宋体" w:hAnsi="宋体" w:cs="宋体"/>
          <w:sz w:val="28"/>
          <w:szCs w:val="28"/>
        </w:rPr>
      </w:pPr>
      <w:r>
        <w:rPr>
          <w:rFonts w:hint="eastAsia" w:ascii="宋体" w:hAnsi="宋体" w:cs="宋体"/>
          <w:sz w:val="28"/>
          <w:szCs w:val="28"/>
        </w:rPr>
        <w:t>⑨被人力资源社会保障行政部门列入拖欠农民工工资“黑名单”的</w:t>
      </w:r>
    </w:p>
    <w:p>
      <w:pPr>
        <w:widowControl/>
        <w:shd w:val="clear" w:color="auto" w:fill="FFFFFF"/>
        <w:spacing w:line="400" w:lineRule="exact"/>
        <w:ind w:firstLine="570"/>
        <w:jc w:val="left"/>
        <w:rPr>
          <w:rFonts w:hint="eastAsia" w:ascii="宋体" w:hAnsi="宋体" w:cs="宋体"/>
          <w:sz w:val="28"/>
          <w:szCs w:val="28"/>
        </w:rPr>
      </w:pPr>
      <w:r>
        <w:rPr>
          <w:rFonts w:hint="eastAsia" w:ascii="宋体" w:hAnsi="宋体" w:cs="宋体"/>
          <w:sz w:val="28"/>
          <w:szCs w:val="28"/>
        </w:rPr>
        <w:t>5.投标人所属分公司、办事处等分支机构存在第4款信誉要求①-⑨项情形之一的</w:t>
      </w:r>
      <w:r>
        <w:rPr>
          <w:rFonts w:hint="eastAsia" w:ascii="宋体" w:hAnsi="宋体" w:cs="宋体"/>
          <w:sz w:val="28"/>
          <w:szCs w:val="28"/>
          <w:u w:val="single"/>
        </w:rPr>
        <w:sym w:font="Wingdings 2" w:char="00A3"/>
      </w:r>
      <w:r>
        <w:rPr>
          <w:rFonts w:hint="eastAsia" w:ascii="宋体" w:hAnsi="宋体" w:cs="宋体"/>
          <w:sz w:val="28"/>
          <w:szCs w:val="28"/>
          <w:u w:val="single"/>
        </w:rPr>
        <w:t>接受 </w:t>
      </w:r>
      <w:r>
        <w:rPr>
          <w:rFonts w:hint="eastAsia" w:ascii="宋体" w:hAnsi="宋体" w:cs="宋体"/>
          <w:sz w:val="28"/>
          <w:szCs w:val="28"/>
          <w:u w:val="single"/>
        </w:rPr>
        <w:sym w:font="Wingdings 2" w:char="0052"/>
      </w:r>
      <w:r>
        <w:rPr>
          <w:rFonts w:hint="eastAsia" w:ascii="宋体" w:hAnsi="宋体" w:cs="宋体"/>
          <w:sz w:val="28"/>
          <w:szCs w:val="28"/>
          <w:u w:val="single"/>
        </w:rPr>
        <w:t>拒绝 </w:t>
      </w:r>
      <w:r>
        <w:rPr>
          <w:rFonts w:hint="eastAsia" w:ascii="宋体" w:hAnsi="宋体" w:cs="宋体"/>
          <w:sz w:val="28"/>
          <w:szCs w:val="28"/>
        </w:rPr>
        <w:t>投标人参加本项目。</w:t>
      </w:r>
    </w:p>
    <w:p>
      <w:pPr>
        <w:pStyle w:val="9"/>
        <w:spacing w:before="0" w:beforeAutospacing="0" w:after="0" w:afterAutospacing="0" w:line="460" w:lineRule="exact"/>
        <w:ind w:firstLine="48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采购人不接受联合体投标，具有投资参股关系的关联企业，或具有直接管理或被管理关系的母子公司，或同一母公司的子公司，或法定代表人为同一人的两个及两个以上法人不得同时投标，否则均按无效标处理。</w:t>
      </w:r>
    </w:p>
    <w:p>
      <w:pPr>
        <w:pStyle w:val="9"/>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三、报名及招标文件发售办法</w:t>
      </w:r>
    </w:p>
    <w:p>
      <w:pPr>
        <w:pStyle w:val="9"/>
        <w:spacing w:before="0" w:beforeAutospacing="0" w:after="0" w:afterAutospacing="0" w:line="460" w:lineRule="exact"/>
        <w:ind w:firstLine="495"/>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交易文件</w:t>
      </w:r>
      <w:r>
        <w:rPr>
          <w:rFonts w:hint="eastAsia" w:ascii="宋体" w:hAnsi="宋体" w:cs="宋体"/>
          <w:color w:val="000000" w:themeColor="text1"/>
          <w:sz w:val="24"/>
          <w:szCs w:val="24"/>
          <w:highlight w:val="none"/>
          <w14:textFill>
            <w14:solidFill>
              <w14:schemeClr w14:val="tx1"/>
            </w14:solidFill>
          </w14:textFill>
        </w:rPr>
        <w:t>发售时间：</w:t>
      </w:r>
      <w:r>
        <w:rPr>
          <w:rFonts w:hint="eastAsia" w:ascii="宋体" w:hAnsi="宋体" w:cs="宋体"/>
          <w:b/>
          <w:color w:val="000000" w:themeColor="text1"/>
          <w:sz w:val="24"/>
          <w:szCs w:val="24"/>
          <w:highlight w:val="none"/>
          <w:u w:val="single" w:color="auto"/>
          <w:lang w:eastAsia="zh-CN"/>
          <w14:textFill>
            <w14:solidFill>
              <w14:schemeClr w14:val="tx1"/>
            </w14:solidFill>
          </w14:textFill>
        </w:rPr>
        <w:t>2021年</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0</w:t>
      </w:r>
      <w:r>
        <w:rPr>
          <w:rFonts w:hint="eastAsia" w:cs="宋体"/>
          <w:b/>
          <w:color w:val="000000" w:themeColor="text1"/>
          <w:sz w:val="24"/>
          <w:szCs w:val="24"/>
          <w:highlight w:val="none"/>
          <w:u w:val="single" w:color="auto"/>
          <w:lang w:val="en-US" w:eastAsia="zh-CN"/>
          <w14:textFill>
            <w14:solidFill>
              <w14:schemeClr w14:val="tx1"/>
            </w14:solidFill>
          </w14:textFill>
        </w:rPr>
        <w:t>4</w:t>
      </w:r>
      <w:r>
        <w:rPr>
          <w:rFonts w:hint="eastAsia" w:ascii="宋体" w:hAnsi="宋体" w:cs="宋体"/>
          <w:b/>
          <w:color w:val="000000" w:themeColor="text1"/>
          <w:sz w:val="24"/>
          <w:szCs w:val="24"/>
          <w:highlight w:val="none"/>
          <w:u w:val="single" w:color="auto"/>
          <w14:textFill>
            <w14:solidFill>
              <w14:schemeClr w14:val="tx1"/>
            </w14:solidFill>
          </w14:textFill>
        </w:rPr>
        <w:t>月</w:t>
      </w:r>
      <w:r>
        <w:rPr>
          <w:rFonts w:hint="eastAsia" w:cs="宋体"/>
          <w:b/>
          <w:color w:val="000000" w:themeColor="text1"/>
          <w:sz w:val="24"/>
          <w:szCs w:val="24"/>
          <w:highlight w:val="none"/>
          <w:u w:val="single" w:color="auto"/>
          <w:lang w:val="en-US" w:eastAsia="zh-CN"/>
          <w14:textFill>
            <w14:solidFill>
              <w14:schemeClr w14:val="tx1"/>
            </w14:solidFill>
          </w14:textFill>
        </w:rPr>
        <w:t>12</w:t>
      </w:r>
      <w:r>
        <w:rPr>
          <w:rFonts w:hint="eastAsia" w:ascii="宋体" w:hAnsi="宋体" w:cs="宋体"/>
          <w:b/>
          <w:color w:val="000000" w:themeColor="text1"/>
          <w:sz w:val="24"/>
          <w:szCs w:val="24"/>
          <w:highlight w:val="none"/>
          <w:u w:val="single" w:color="auto"/>
          <w14:textFill>
            <w14:solidFill>
              <w14:schemeClr w14:val="tx1"/>
            </w14:solidFill>
          </w14:textFill>
        </w:rPr>
        <w:t>日17时至</w:t>
      </w:r>
      <w:r>
        <w:rPr>
          <w:rFonts w:hint="eastAsia" w:ascii="宋体" w:hAnsi="宋体" w:cs="宋体"/>
          <w:b/>
          <w:color w:val="000000" w:themeColor="text1"/>
          <w:sz w:val="24"/>
          <w:szCs w:val="24"/>
          <w:highlight w:val="none"/>
          <w:u w:val="single" w:color="auto"/>
          <w:lang w:eastAsia="zh-CN"/>
          <w14:textFill>
            <w14:solidFill>
              <w14:schemeClr w14:val="tx1"/>
            </w14:solidFill>
          </w14:textFill>
        </w:rPr>
        <w:t>2021年</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04</w:t>
      </w:r>
      <w:r>
        <w:rPr>
          <w:rFonts w:hint="eastAsia" w:ascii="宋体" w:hAnsi="宋体" w:cs="宋体"/>
          <w:b/>
          <w:color w:val="000000" w:themeColor="text1"/>
          <w:sz w:val="24"/>
          <w:szCs w:val="24"/>
          <w:highlight w:val="none"/>
          <w:u w:val="single" w:color="auto"/>
          <w14:textFill>
            <w14:solidFill>
              <w14:schemeClr w14:val="tx1"/>
            </w14:solidFill>
          </w14:textFill>
        </w:rPr>
        <w:t>月</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1</w:t>
      </w:r>
      <w:r>
        <w:rPr>
          <w:rFonts w:hint="eastAsia" w:cs="宋体"/>
          <w:b/>
          <w:color w:val="000000" w:themeColor="text1"/>
          <w:sz w:val="24"/>
          <w:szCs w:val="24"/>
          <w:highlight w:val="none"/>
          <w:u w:val="single" w:color="auto"/>
          <w:lang w:val="en-US" w:eastAsia="zh-CN"/>
          <w14:textFill>
            <w14:solidFill>
              <w14:schemeClr w14:val="tx1"/>
            </w14:solidFill>
          </w14:textFill>
        </w:rPr>
        <w:t>9</w:t>
      </w:r>
      <w:r>
        <w:rPr>
          <w:rFonts w:hint="eastAsia" w:ascii="宋体" w:hAnsi="宋体" w:cs="宋体"/>
          <w:b/>
          <w:color w:val="000000" w:themeColor="text1"/>
          <w:sz w:val="24"/>
          <w:szCs w:val="24"/>
          <w:highlight w:val="none"/>
          <w:u w:val="single" w:color="auto"/>
          <w14:textFill>
            <w14:solidFill>
              <w14:schemeClr w14:val="tx1"/>
            </w14:solidFill>
          </w14:textFill>
        </w:rPr>
        <w:t>日</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1</w:t>
      </w:r>
      <w:r>
        <w:rPr>
          <w:rFonts w:hint="eastAsia" w:cs="宋体"/>
          <w:b/>
          <w:color w:val="000000" w:themeColor="text1"/>
          <w:sz w:val="24"/>
          <w:szCs w:val="24"/>
          <w:highlight w:val="none"/>
          <w:u w:val="single" w:color="auto"/>
          <w:lang w:val="en-US" w:eastAsia="zh-CN"/>
          <w14:textFill>
            <w14:solidFill>
              <w14:schemeClr w14:val="tx1"/>
            </w14:solidFill>
          </w14:textFill>
        </w:rPr>
        <w:t>7</w:t>
      </w:r>
      <w:r>
        <w:rPr>
          <w:rFonts w:hint="eastAsia" w:ascii="宋体" w:hAnsi="宋体" w:cs="宋体"/>
          <w:b/>
          <w:color w:val="000000" w:themeColor="text1"/>
          <w:sz w:val="24"/>
          <w:szCs w:val="24"/>
          <w:highlight w:val="none"/>
          <w:u w:val="single" w:color="auto"/>
          <w14:textFill>
            <w14:solidFill>
              <w14:schemeClr w14:val="tx1"/>
            </w14:solidFill>
          </w14:textFill>
        </w:rPr>
        <w:t>时00分</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没购买</w:t>
      </w:r>
      <w:r>
        <w:rPr>
          <w:rFonts w:hint="eastAsia" w:ascii="宋体" w:hAnsi="宋体" w:cs="宋体"/>
          <w:color w:val="000000" w:themeColor="text1"/>
          <w:sz w:val="24"/>
          <w:szCs w:val="24"/>
          <w:highlight w:val="none"/>
          <w:lang w:eastAsia="zh-CN"/>
          <w14:textFill>
            <w14:solidFill>
              <w14:schemeClr w14:val="tx1"/>
            </w14:solidFill>
          </w14:textFill>
        </w:rPr>
        <w:t>交易文件</w:t>
      </w:r>
      <w:r>
        <w:rPr>
          <w:rFonts w:hint="eastAsia" w:cs="宋体"/>
          <w:color w:val="000000" w:themeColor="text1"/>
          <w:sz w:val="24"/>
          <w:szCs w:val="24"/>
          <w:highlight w:val="none"/>
          <w:lang w:eastAsia="zh-CN"/>
          <w14:textFill>
            <w14:solidFill>
              <w14:schemeClr w14:val="tx1"/>
            </w14:solidFill>
          </w14:textFill>
        </w:rPr>
        <w:t>的</w:t>
      </w:r>
      <w:r>
        <w:rPr>
          <w:rFonts w:asciiTheme="minorEastAsia" w:hAnsiTheme="minorEastAsia" w:eastAsiaTheme="minorEastAsia"/>
          <w:color w:val="000000" w:themeColor="text1"/>
          <w14:textFill>
            <w14:solidFill>
              <w14:schemeClr w14:val="tx1"/>
            </w14:solidFill>
          </w14:textFill>
        </w:rPr>
        <w:t>，其投标文件将不予接受。</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交易文件</w:t>
      </w:r>
      <w:r>
        <w:rPr>
          <w:rFonts w:hint="eastAsia" w:ascii="宋体" w:hAnsi="宋体" w:cs="宋体"/>
          <w:sz w:val="24"/>
          <w:szCs w:val="24"/>
        </w:rPr>
        <w:t>价格：每套人民币</w:t>
      </w:r>
      <w:r>
        <w:rPr>
          <w:rFonts w:hint="eastAsia" w:ascii="宋体" w:hAnsi="宋体" w:cs="宋体"/>
          <w:sz w:val="24"/>
          <w:szCs w:val="24"/>
          <w:lang w:val="en-US" w:eastAsia="zh-CN"/>
        </w:rPr>
        <w:t>200</w:t>
      </w:r>
      <w:r>
        <w:rPr>
          <w:rFonts w:hint="eastAsia" w:ascii="宋体" w:hAnsi="宋体" w:cs="宋体"/>
          <w:sz w:val="24"/>
          <w:szCs w:val="24"/>
        </w:rPr>
        <w:t>元整，</w:t>
      </w:r>
      <w:r>
        <w:rPr>
          <w:rFonts w:hint="eastAsia" w:ascii="宋体" w:hAnsi="宋体" w:cs="宋体"/>
          <w:sz w:val="24"/>
          <w:szCs w:val="24"/>
          <w:lang w:eastAsia="zh-CN"/>
        </w:rPr>
        <w:t>交易文件</w:t>
      </w:r>
      <w:r>
        <w:rPr>
          <w:rFonts w:hint="eastAsia" w:ascii="宋体" w:hAnsi="宋体" w:cs="宋体"/>
          <w:sz w:val="24"/>
          <w:szCs w:val="24"/>
        </w:rPr>
        <w:t>售后不退</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领取</w:t>
      </w:r>
      <w:r>
        <w:rPr>
          <w:rFonts w:hint="eastAsia" w:ascii="宋体" w:hAnsi="宋体" w:cs="宋体"/>
          <w:sz w:val="24"/>
          <w:szCs w:val="24"/>
        </w:rPr>
        <w:t>方式：</w:t>
      </w:r>
      <w:r>
        <w:rPr>
          <w:sz w:val="24"/>
          <w:szCs w:val="24"/>
        </w:rPr>
        <w:t>现场报名</w:t>
      </w:r>
      <w:r>
        <w:rPr>
          <w:rFonts w:hint="eastAsia"/>
          <w:sz w:val="24"/>
          <w:szCs w:val="24"/>
          <w:lang w:val="en-US" w:eastAsia="zh-CN"/>
        </w:rPr>
        <w:t>(</w:t>
      </w:r>
      <w:r>
        <w:rPr>
          <w:sz w:val="24"/>
          <w:szCs w:val="24"/>
        </w:rPr>
        <w:t>到</w:t>
      </w:r>
      <w:r>
        <w:rPr>
          <w:rFonts w:hint="eastAsia"/>
          <w:sz w:val="24"/>
          <w:szCs w:val="24"/>
          <w:lang w:eastAsia="zh-CN"/>
        </w:rPr>
        <w:t>代理机构</w:t>
      </w:r>
      <w:r>
        <w:rPr>
          <w:sz w:val="24"/>
          <w:szCs w:val="24"/>
        </w:rPr>
        <w:t>处报名</w:t>
      </w:r>
      <w:r>
        <w:rPr>
          <w:rFonts w:hint="eastAsia"/>
          <w:sz w:val="24"/>
          <w:szCs w:val="24"/>
          <w:lang w:eastAsia="zh-CN"/>
        </w:rPr>
        <w:t>，并领取报名回执单</w:t>
      </w:r>
      <w:r>
        <w:rPr>
          <w:rFonts w:hint="eastAsia"/>
          <w:sz w:val="24"/>
          <w:szCs w:val="24"/>
          <w:lang w:val="en-US" w:eastAsia="zh-CN"/>
        </w:rPr>
        <w:t>)</w:t>
      </w:r>
    </w:p>
    <w:p>
      <w:pPr>
        <w:pStyle w:val="9"/>
        <w:shd w:val="clear" w:color="auto" w:fill="FFFFFF"/>
        <w:spacing w:before="0" w:beforeAutospacing="0" w:after="0" w:afterAutospacing="0" w:line="400" w:lineRule="atLeast"/>
        <w:rPr>
          <w:rFonts w:ascii="Times New Roman" w:hAnsi="Times New Roman" w:cs="Times New Roman"/>
          <w:color w:val="000000" w:themeColor="text1"/>
          <w:sz w:val="24"/>
          <w:szCs w:val="24"/>
          <w:highlight w:val="none"/>
          <w14:textFill>
            <w14:solidFill>
              <w14:schemeClr w14:val="tx1"/>
            </w14:solidFill>
          </w14:textFill>
        </w:rPr>
      </w:pPr>
      <w:r>
        <w:rPr>
          <w:rFonts w:hint="eastAsia"/>
          <w:b/>
          <w:color w:val="auto"/>
          <w:sz w:val="24"/>
          <w:szCs w:val="24"/>
          <w:highlight w:val="none"/>
          <w:shd w:val="clear" w:color="auto" w:fill="FFFFFF"/>
        </w:rPr>
        <w:t>四、开标时间及地点</w:t>
      </w:r>
    </w:p>
    <w:p>
      <w:pPr>
        <w:shd w:val="clear" w:color="auto" w:fill="FFFFFF"/>
        <w:spacing w:line="360" w:lineRule="auto"/>
        <w:ind w:firstLine="480" w:firstLineChars="200"/>
        <w:jc w:val="left"/>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1、开标时间：</w:t>
      </w:r>
      <w:r>
        <w:rPr>
          <w:rFonts w:hint="eastAsia" w:ascii="宋体" w:hAnsi="宋体" w:cs="宋体"/>
          <w:b/>
          <w:color w:val="000000" w:themeColor="text1"/>
          <w:sz w:val="24"/>
          <w:szCs w:val="24"/>
          <w:highlight w:val="none"/>
          <w:u w:val="single" w:color="auto"/>
          <w:lang w:eastAsia="zh-CN"/>
          <w14:textFill>
            <w14:solidFill>
              <w14:schemeClr w14:val="tx1"/>
            </w14:solidFill>
          </w14:textFill>
        </w:rPr>
        <w:t>2021年</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04</w:t>
      </w:r>
      <w:r>
        <w:rPr>
          <w:rFonts w:hint="eastAsia" w:ascii="宋体" w:hAnsi="宋体" w:cs="宋体"/>
          <w:b/>
          <w:color w:val="000000" w:themeColor="text1"/>
          <w:sz w:val="24"/>
          <w:szCs w:val="24"/>
          <w:highlight w:val="none"/>
          <w:u w:val="single" w:color="auto"/>
          <w14:textFill>
            <w14:solidFill>
              <w14:schemeClr w14:val="tx1"/>
            </w14:solidFill>
          </w14:textFill>
        </w:rPr>
        <w:t>月</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23</w:t>
      </w:r>
      <w:r>
        <w:rPr>
          <w:rFonts w:hint="eastAsia" w:ascii="宋体" w:hAnsi="宋体" w:cs="宋体"/>
          <w:b/>
          <w:color w:val="000000" w:themeColor="text1"/>
          <w:sz w:val="24"/>
          <w:szCs w:val="24"/>
          <w:highlight w:val="none"/>
          <w:u w:val="single" w:color="auto"/>
          <w14:textFill>
            <w14:solidFill>
              <w14:schemeClr w14:val="tx1"/>
            </w14:solidFill>
          </w14:textFill>
        </w:rPr>
        <w:t>日</w:t>
      </w:r>
      <w:r>
        <w:rPr>
          <w:rFonts w:hint="eastAsia" w:ascii="宋体" w:hAnsi="宋体" w:cs="宋体"/>
          <w:b/>
          <w:color w:val="000000" w:themeColor="text1"/>
          <w:sz w:val="24"/>
          <w:szCs w:val="24"/>
          <w:highlight w:val="none"/>
          <w:u w:val="single" w:color="auto"/>
          <w:lang w:val="en-US" w:eastAsia="zh-CN"/>
          <w14:textFill>
            <w14:solidFill>
              <w14:schemeClr w14:val="tx1"/>
            </w14:solidFill>
          </w14:textFill>
        </w:rPr>
        <w:t>10</w:t>
      </w:r>
      <w:r>
        <w:rPr>
          <w:rFonts w:hint="eastAsia" w:ascii="宋体" w:hAnsi="宋体" w:cs="宋体"/>
          <w:b/>
          <w:color w:val="000000" w:themeColor="text1"/>
          <w:sz w:val="24"/>
          <w:szCs w:val="24"/>
          <w:highlight w:val="none"/>
          <w:u w:val="single" w:color="auto"/>
          <w14:textFill>
            <w14:solidFill>
              <w14:schemeClr w14:val="tx1"/>
            </w14:solidFill>
          </w14:textFill>
        </w:rPr>
        <w:t>时00分</w:t>
      </w:r>
    </w:p>
    <w:p>
      <w:pPr>
        <w:pStyle w:val="9"/>
        <w:shd w:val="clear" w:color="auto" w:fill="FFFFFF"/>
        <w:spacing w:before="0" w:beforeAutospacing="0" w:after="0" w:afterAutospacing="0" w:line="400" w:lineRule="atLeast"/>
        <w:ind w:firstLine="480" w:firstLineChars="200"/>
        <w:rPr>
          <w:rFonts w:hint="eastAsia" w:ascii="宋体" w:hAnsi="宋体" w:eastAsia="宋体" w:cs="宋体"/>
          <w:color w:val="FF0000"/>
          <w:sz w:val="24"/>
          <w:szCs w:val="24"/>
          <w:lang w:eastAsia="zh-CN"/>
        </w:rPr>
      </w:pPr>
      <w:r>
        <w:rPr>
          <w:rFonts w:hint="eastAsia" w:ascii="宋体" w:hAnsi="宋体" w:cs="宋体"/>
          <w:sz w:val="24"/>
          <w:szCs w:val="24"/>
        </w:rPr>
        <w:t>2、开标地点：</w:t>
      </w:r>
      <w:r>
        <w:rPr>
          <w:rFonts w:hint="eastAsia" w:ascii="宋体" w:hAnsi="宋体" w:cs="宋体"/>
          <w:sz w:val="24"/>
          <w:szCs w:val="24"/>
          <w:lang w:eastAsia="zh-CN"/>
        </w:rPr>
        <w:t>明光市人民</w:t>
      </w:r>
      <w:r>
        <w:rPr>
          <w:rFonts w:hint="eastAsia" w:cs="宋体"/>
          <w:sz w:val="24"/>
          <w:szCs w:val="24"/>
          <w:lang w:eastAsia="zh-CN"/>
        </w:rPr>
        <w:t>医院会议室</w:t>
      </w:r>
    </w:p>
    <w:p>
      <w:pPr>
        <w:pStyle w:val="9"/>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五、投标截止时间</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同开标时间</w:t>
      </w:r>
    </w:p>
    <w:p>
      <w:pPr>
        <w:pStyle w:val="9"/>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六：联系方法</w:t>
      </w:r>
    </w:p>
    <w:p>
      <w:pPr>
        <w:shd w:val="clear" w:color="auto" w:fill="FFFFFF"/>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rPr>
        <w:t>（一）项目单位：</w:t>
      </w:r>
      <w:r>
        <w:rPr>
          <w:rFonts w:hint="eastAsia" w:ascii="宋体" w:hAnsi="宋体" w:cs="宋体"/>
          <w:sz w:val="24"/>
          <w:szCs w:val="24"/>
          <w:lang w:eastAsia="zh-CN"/>
        </w:rPr>
        <w:t>明光市人民医院</w:t>
      </w:r>
    </w:p>
    <w:p>
      <w:pPr>
        <w:shd w:val="clear" w:color="auto" w:fill="FFFFFF"/>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lang w:eastAsia="zh-CN"/>
        </w:rPr>
        <w:t>明光市人民医院</w:t>
      </w:r>
    </w:p>
    <w:p>
      <w:pPr>
        <w:shd w:val="clear" w:color="auto" w:fill="FFFFFF"/>
        <w:spacing w:line="360" w:lineRule="auto"/>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sz w:val="24"/>
          <w:szCs w:val="24"/>
          <w:lang w:eastAsia="zh-CN"/>
        </w:rPr>
        <w:t xml:space="preserve">  李主任 </w:t>
      </w:r>
      <w:r>
        <w:rPr>
          <w:rFonts w:hint="eastAsia" w:ascii="宋体" w:hAnsi="宋体" w:cs="宋体"/>
          <w:color w:val="FF0000"/>
          <w:sz w:val="24"/>
          <w:szCs w:val="24"/>
        </w:rPr>
        <w:t xml:space="preserve"> </w:t>
      </w:r>
      <w:r>
        <w:rPr>
          <w:rFonts w:hint="eastAsia" w:ascii="宋体" w:hAnsi="宋体" w:cs="宋体"/>
          <w:color w:val="000000" w:themeColor="text1"/>
          <w:sz w:val="24"/>
          <w:szCs w:val="24"/>
          <w14:textFill>
            <w14:solidFill>
              <w14:schemeClr w14:val="tx1"/>
            </w14:solidFill>
          </w14:textFill>
        </w:rPr>
        <w:t xml:space="preserve">   </w:t>
      </w:r>
    </w:p>
    <w:p>
      <w:pPr>
        <w:pStyle w:val="9"/>
        <w:spacing w:before="0" w:beforeAutospacing="0" w:after="0" w:afterAutospacing="0" w:line="460" w:lineRule="exact"/>
        <w:ind w:firstLine="480"/>
        <w:rPr>
          <w:rFonts w:hint="eastAsia" w:eastAsia="宋体" w:asciiTheme="minorEastAsia" w:hAnsiTheme="minorEastAsia"/>
          <w:color w:val="000000" w:themeColor="text1"/>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cs="宋体"/>
          <w:color w:val="000000" w:themeColor="text1"/>
          <w:sz w:val="24"/>
          <w:szCs w:val="24"/>
          <w:lang w:val="en-US" w:eastAsia="zh-CN"/>
          <w14:textFill>
            <w14:solidFill>
              <w14:schemeClr w14:val="tx1"/>
            </w14:solidFill>
          </w14:textFill>
        </w:rPr>
        <w:t>15255079527</w:t>
      </w:r>
    </w:p>
    <w:p>
      <w:pPr>
        <w:shd w:val="clear" w:color="auto" w:fill="FFFFFF"/>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rPr>
        <w:t>（二）招标代理机构：</w:t>
      </w:r>
      <w:r>
        <w:rPr>
          <w:rFonts w:hint="eastAsia" w:ascii="宋体" w:hAnsi="宋体" w:cs="宋体"/>
          <w:sz w:val="24"/>
          <w:szCs w:val="24"/>
          <w:lang w:eastAsia="zh-CN"/>
        </w:rPr>
        <w:t>安徽百士德工程咨询有限公司</w:t>
      </w:r>
    </w:p>
    <w:p>
      <w:pPr>
        <w:shd w:val="clear" w:color="auto" w:fill="FFFFFF"/>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滁州市会峰路</w:t>
      </w:r>
      <w:r>
        <w:rPr>
          <w:rFonts w:hint="eastAsia" w:ascii="宋体" w:hAnsi="宋体" w:cs="宋体"/>
          <w:sz w:val="24"/>
          <w:szCs w:val="24"/>
          <w:lang w:val="en-US" w:eastAsia="zh-CN"/>
        </w:rPr>
        <w:t>72号</w:t>
      </w:r>
    </w:p>
    <w:p>
      <w:pPr>
        <w:widowControl w:val="0"/>
        <w:snapToGrid w:val="0"/>
        <w:spacing w:before="160" w:beforeLines="50" w:after="160" w:afterLines="50" w:line="240" w:lineRule="auto"/>
        <w:ind w:firstLine="480" w:firstLineChars="200"/>
        <w:outlineLvl w:val="9"/>
        <w:rPr>
          <w:rFonts w:hint="eastAsia" w:ascii="宋体" w:hAnsi="宋体" w:eastAsia="宋体" w:cs="宋体"/>
          <w:sz w:val="24"/>
          <w:szCs w:val="24"/>
          <w:lang w:eastAsia="zh-CN"/>
        </w:rPr>
      </w:pPr>
      <w:bookmarkStart w:id="0" w:name="_Toc18125"/>
      <w:bookmarkStart w:id="1" w:name="_Toc11821"/>
      <w:bookmarkStart w:id="2" w:name="_Toc28919"/>
      <w:r>
        <w:rPr>
          <w:rFonts w:hint="eastAsia" w:ascii="宋体" w:hAnsi="宋体" w:cs="宋体"/>
          <w:sz w:val="24"/>
          <w:szCs w:val="24"/>
        </w:rPr>
        <w:t>联系人：</w:t>
      </w:r>
      <w:r>
        <w:rPr>
          <w:rFonts w:hint="eastAsia" w:ascii="宋体" w:hAnsi="宋体" w:cs="宋体"/>
          <w:sz w:val="24"/>
          <w:szCs w:val="24"/>
          <w:lang w:eastAsia="zh-CN"/>
        </w:rPr>
        <w:t>罗道群</w:t>
      </w:r>
      <w:r>
        <w:rPr>
          <w:rFonts w:hint="eastAsia" w:ascii="宋体" w:hAnsi="宋体" w:cs="宋体"/>
          <w:sz w:val="24"/>
          <w:szCs w:val="24"/>
        </w:rPr>
        <w:t xml:space="preserve">       电  话：</w:t>
      </w:r>
      <w:bookmarkEnd w:id="0"/>
      <w:bookmarkEnd w:id="1"/>
      <w:r>
        <w:rPr>
          <w:rFonts w:hint="eastAsia" w:ascii="宋体" w:hAnsi="宋体" w:cs="宋体"/>
          <w:sz w:val="24"/>
          <w:szCs w:val="24"/>
          <w:lang w:eastAsia="zh-CN"/>
        </w:rPr>
        <w:t>13955010538</w:t>
      </w:r>
      <w:bookmarkEnd w:id="2"/>
    </w:p>
    <w:p>
      <w:pPr>
        <w:pStyle w:val="9"/>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七、其它事项说明</w:t>
      </w:r>
    </w:p>
    <w:p>
      <w:pPr>
        <w:pStyle w:val="9"/>
        <w:shd w:val="clear" w:color="auto" w:fill="FFFFFF"/>
        <w:spacing w:before="0" w:beforeAutospacing="0" w:after="0" w:afterAutospacing="0" w:line="400" w:lineRule="atLeast"/>
        <w:ind w:firstLine="420"/>
        <w:rPr>
          <w:rFonts w:hint="default" w:eastAsia="宋体"/>
          <w:sz w:val="24"/>
          <w:szCs w:val="24"/>
          <w:lang w:val="en-US" w:eastAsia="zh-CN"/>
        </w:rPr>
      </w:pPr>
      <w:r>
        <w:rPr>
          <w:rFonts w:hint="eastAsia"/>
          <w:color w:val="auto"/>
          <w:sz w:val="24"/>
          <w:szCs w:val="24"/>
          <w:highlight w:val="none"/>
          <w:shd w:val="clear" w:color="auto" w:fill="FFFFFF"/>
          <w:lang w:eastAsia="zh-CN"/>
        </w:rPr>
        <w:t>无</w:t>
      </w:r>
      <w:r>
        <w:rPr>
          <w:rFonts w:hint="eastAsia"/>
          <w:color w:val="auto"/>
          <w:sz w:val="24"/>
          <w:szCs w:val="24"/>
          <w:highlight w:val="none"/>
          <w:shd w:val="clear" w:color="auto" w:fill="FFFFFF"/>
        </w:rPr>
        <w:t>。</w:t>
      </w:r>
    </w:p>
    <w:p>
      <w:pPr>
        <w:pStyle w:val="9"/>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八、公告期限</w:t>
      </w:r>
    </w:p>
    <w:p>
      <w:pPr>
        <w:pStyle w:val="9"/>
        <w:shd w:val="clear" w:color="auto" w:fill="FFFFFF"/>
        <w:spacing w:before="0" w:beforeAutospacing="0" w:after="0" w:afterAutospacing="0" w:line="400" w:lineRule="atLeast"/>
        <w:ind w:firstLine="420"/>
        <w:rPr>
          <w:rFonts w:ascii="Times New Roman" w:hAnsi="Times New Roman" w:cs="Times New Roman"/>
          <w:color w:val="C00000"/>
          <w:sz w:val="24"/>
          <w:szCs w:val="24"/>
          <w:highlight w:val="none"/>
        </w:rPr>
      </w:pPr>
      <w:r>
        <w:rPr>
          <w:rFonts w:hint="eastAsia"/>
          <w:color w:val="000000" w:themeColor="text1"/>
          <w:sz w:val="24"/>
          <w:szCs w:val="24"/>
          <w:highlight w:val="none"/>
          <w:shd w:val="clear" w:color="auto" w:fill="FFFFFF"/>
          <w14:textFill>
            <w14:solidFill>
              <w14:schemeClr w14:val="tx1"/>
            </w14:solidFill>
          </w14:textFill>
        </w:rPr>
        <w:t>本项目公告期限为5个工作日</w:t>
      </w:r>
      <w:r>
        <w:rPr>
          <w:rFonts w:hint="eastAsia"/>
          <w:color w:val="C00000"/>
          <w:sz w:val="24"/>
          <w:szCs w:val="24"/>
          <w:highlight w:val="none"/>
          <w:shd w:val="clear" w:color="auto" w:fill="FFFFFF"/>
        </w:rPr>
        <w:t>。</w:t>
      </w:r>
    </w:p>
    <w:p>
      <w:pPr>
        <w:pStyle w:val="9"/>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九、其他重要说明</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1</w:t>
      </w:r>
      <w:r>
        <w:rPr>
          <w:rFonts w:hint="eastAsia"/>
          <w:color w:val="auto"/>
          <w:sz w:val="24"/>
          <w:szCs w:val="24"/>
          <w:highlight w:val="none"/>
          <w:shd w:val="clear" w:color="auto" w:fill="FFFFFF"/>
        </w:rPr>
        <w:t>）投标人必须报名并下载交易文件，否则投标文件将被拒收；</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2</w:t>
      </w:r>
      <w:r>
        <w:rPr>
          <w:rFonts w:hint="eastAsia"/>
          <w:color w:val="auto"/>
          <w:sz w:val="24"/>
          <w:szCs w:val="24"/>
          <w:highlight w:val="none"/>
          <w:shd w:val="clear" w:color="auto" w:fill="FFFFFF"/>
        </w:rPr>
        <w:t>）投标人被县级（含）以上行业行政主管部门或招投标综合监督管理部门限制投标资格且开标日在处罚期限内的，一律限制进滁交易资格，不得参加我市公共资源交易项目招投标活动，若中标取消中标资格；</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3</w:t>
      </w:r>
      <w:r>
        <w:rPr>
          <w:rFonts w:hint="eastAsia"/>
          <w:color w:val="auto"/>
          <w:sz w:val="24"/>
          <w:szCs w:val="24"/>
          <w:highlight w:val="none"/>
          <w:shd w:val="clear" w:color="auto" w:fill="FFFFFF"/>
        </w:rPr>
        <w:t>）凡投标人在我市公共资源交易活动中出现违法违规、破坏市场秩序等不良行为且被监管部门处罚的，一律在滁州市公共资源交易网等相关网站曝光；</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4</w:t>
      </w:r>
      <w:r>
        <w:rPr>
          <w:rFonts w:hint="eastAsia"/>
          <w:color w:val="auto"/>
          <w:sz w:val="24"/>
          <w:szCs w:val="24"/>
          <w:highlight w:val="none"/>
          <w:shd w:val="clear" w:color="auto" w:fill="FFFFFF"/>
        </w:rPr>
        <w:t>）投标人因违反法律、法规、规章规定以及其他扰乱秩序等行为被滁州市公管局披露信用信息的，招标人不接受其在披露期内的投标文件；</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5</w:t>
      </w:r>
      <w:r>
        <w:rPr>
          <w:rFonts w:hint="eastAsia"/>
          <w:color w:val="auto"/>
          <w:sz w:val="24"/>
          <w:szCs w:val="24"/>
          <w:highlight w:val="none"/>
          <w:shd w:val="clear" w:color="auto" w:fill="FFFFFF"/>
        </w:rPr>
        <w:t>）投标人被列入重大税收违法案件当事人名单的，一律限制进滁交易资格，不得参加我市公共资源交易项目招投标活动，若中标取消中标资格；</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6</w:t>
      </w:r>
      <w:r>
        <w:rPr>
          <w:rFonts w:hint="eastAsia"/>
          <w:color w:val="auto"/>
          <w:sz w:val="24"/>
          <w:szCs w:val="24"/>
          <w:highlight w:val="none"/>
          <w:shd w:val="clear" w:color="auto" w:fill="FFFFFF"/>
        </w:rPr>
        <w:t>）招标人（代理机构）将通过“信用中国”网站</w:t>
      </w:r>
      <w:r>
        <w:rPr>
          <w:rFonts w:hint="eastAsia"/>
          <w:color w:val="000000" w:themeColor="text1"/>
          <w:sz w:val="24"/>
          <w:szCs w:val="24"/>
          <w:highlight w:val="none"/>
          <w:shd w:val="clear" w:color="auto" w:fill="FFFFFF"/>
          <w14:textFill>
            <w14:solidFill>
              <w14:schemeClr w14:val="tx1"/>
            </w14:solidFill>
          </w14:textFill>
        </w:rPr>
        <w:t>（www.creditchina.gov.cn</w:t>
      </w:r>
      <w:r>
        <w:rPr>
          <w:rFonts w:hint="eastAsia"/>
          <w:color w:val="auto"/>
          <w:sz w:val="24"/>
          <w:szCs w:val="24"/>
          <w:highlight w:val="none"/>
          <w:shd w:val="clear" w:color="auto" w:fill="FFFFFF"/>
        </w:rPr>
        <w:t>）、国家企业信用信息公示系统等渠道查询投标人信用记录。若投标人家数少于10家（含），在资格审查环节中，招标人（代理机构）将对投标人、法定代表人及其项目负责人是否是人民法院公布的失信被执行人等失信行为进行网上核查。若投标人家数大于10家，则在专家评审结束后，根据评标委员会评审初步结论，招标人（代理机构）将对推荐的中标候选人、法定代表人及其项目负责人是否是人民法院公布的失信被执行人等失信行为进行网上核查。若核查结果与投标人承诺不一致，则提交评标委员会取消其预中标候选人资格，依次替补，并再次对替补单位进行核查。核查结果不改变原评标基准值；</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7</w:t>
      </w:r>
      <w:r>
        <w:rPr>
          <w:rFonts w:hint="eastAsia"/>
          <w:color w:val="auto"/>
          <w:sz w:val="24"/>
          <w:szCs w:val="24"/>
          <w:highlight w:val="none"/>
          <w:shd w:val="clear" w:color="auto" w:fill="FFFFFF"/>
        </w:rPr>
        <w:t>）若投标人家数大于10家，则在专家评审结束后，根据评标委员会评审初步结论，采购单位（代理机构）将对推荐的预中标候选人、法定代表人是否有行贿犯罪行为进行网上核查（中国裁判文书网）。若核查结果与投标人承诺不一致，则提交评标委员会取消其预中标候选人资格，依次替补。</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8</w:t>
      </w:r>
      <w:r>
        <w:rPr>
          <w:rFonts w:hint="eastAsia"/>
          <w:color w:val="auto"/>
          <w:sz w:val="24"/>
          <w:szCs w:val="24"/>
          <w:highlight w:val="none"/>
          <w:shd w:val="clear" w:color="auto" w:fill="FFFFFF"/>
        </w:rPr>
        <w:t>）投标人的不良行为、失信行为及行政处罚等效力不因企业名称的变更而改变；投标人单位、法定代表人和拟任项目负责人近三年有行贿行为的，投标无效，如中标的将被取消中标资格；</w:t>
      </w:r>
    </w:p>
    <w:p>
      <w:pPr>
        <w:pStyle w:val="9"/>
        <w:shd w:val="clear" w:color="auto" w:fill="FFFFFF"/>
        <w:spacing w:before="0" w:beforeAutospacing="0" w:after="0" w:afterAutospacing="0" w:line="400" w:lineRule="atLeast"/>
        <w:ind w:firstLine="420"/>
        <w:rPr>
          <w:rFonts w:ascii="Times New Roman" w:hAnsi="Times New Roman" w:cs="Times New Roman"/>
          <w:color w:val="auto"/>
          <w:sz w:val="24"/>
          <w:szCs w:val="24"/>
          <w:highlight w:val="none"/>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9</w:t>
      </w:r>
      <w:r>
        <w:rPr>
          <w:rFonts w:hint="eastAsia"/>
          <w:color w:val="auto"/>
          <w:sz w:val="24"/>
          <w:szCs w:val="24"/>
          <w:highlight w:val="none"/>
          <w:shd w:val="clear" w:color="auto" w:fill="FFFFFF"/>
        </w:rPr>
        <w:t>）投标人近三年无农民工工资拖欠情况，若发生相关质疑或投诉，则在五个工作日内提供相关项目所在地的县级以上有关行政主管部门出具的投标人无农民工工资拖欠情况的信用证明，否则取消中标资格；</w:t>
      </w:r>
    </w:p>
    <w:p>
      <w:pPr>
        <w:pStyle w:val="9"/>
        <w:wordWrap w:val="0"/>
        <w:spacing w:before="0" w:beforeAutospacing="0" w:after="0" w:afterAutospacing="0" w:line="400" w:lineRule="atLeast"/>
        <w:ind w:firstLine="480" w:firstLineChars="200"/>
        <w:rPr>
          <w:rFonts w:hint="eastAsia"/>
          <w:color w:val="auto"/>
          <w:sz w:val="24"/>
          <w:szCs w:val="24"/>
          <w:highlight w:val="none"/>
          <w:shd w:val="clear" w:color="auto" w:fill="FFFFFF"/>
        </w:rPr>
      </w:pPr>
      <w:r>
        <w:rPr>
          <w:rFonts w:hint="eastAsia"/>
          <w:color w:val="auto"/>
          <w:sz w:val="24"/>
          <w:szCs w:val="24"/>
          <w:highlight w:val="none"/>
          <w:shd w:val="clear" w:color="auto" w:fill="FFFFFF"/>
        </w:rPr>
        <w:t>（</w:t>
      </w:r>
      <w:r>
        <w:rPr>
          <w:rFonts w:hint="eastAsia"/>
          <w:color w:val="auto"/>
          <w:sz w:val="24"/>
          <w:szCs w:val="24"/>
          <w:highlight w:val="none"/>
          <w:shd w:val="clear" w:color="auto" w:fill="FFFFFF"/>
          <w:lang w:val="en-US" w:eastAsia="zh-CN"/>
        </w:rPr>
        <w:t>10</w:t>
      </w:r>
      <w:r>
        <w:rPr>
          <w:rFonts w:hint="eastAsia"/>
          <w:color w:val="auto"/>
          <w:sz w:val="24"/>
          <w:szCs w:val="24"/>
          <w:highlight w:val="none"/>
          <w:shd w:val="clear" w:color="auto" w:fill="FFFFFF"/>
        </w:rPr>
        <w:t>）中标候选人无正当理由放弃中标候选人资格的，其投标保证金将不予退还，并被记不良信息记录。</w:t>
      </w:r>
    </w:p>
    <w:p>
      <w:pPr>
        <w:pStyle w:val="9"/>
        <w:wordWrap w:val="0"/>
        <w:spacing w:before="0" w:beforeAutospacing="0" w:after="0" w:afterAutospacing="0" w:line="400" w:lineRule="atLeast"/>
        <w:ind w:firstLine="480" w:firstLineChars="200"/>
        <w:rPr>
          <w:rFonts w:ascii="Times New Roman" w:hAnsi="Times New Roman" w:cs="Times New Roman"/>
          <w:color w:val="auto"/>
          <w:sz w:val="24"/>
          <w:szCs w:val="24"/>
          <w:highlight w:val="none"/>
        </w:rPr>
      </w:pPr>
      <w:r>
        <w:rPr>
          <w:rFonts w:hint="eastAsia" w:hAnsi="宋体"/>
          <w:color w:val="000000"/>
          <w:sz w:val="24"/>
          <w:szCs w:val="24"/>
        </w:rPr>
        <w:t>（1</w:t>
      </w:r>
      <w:r>
        <w:rPr>
          <w:rFonts w:hint="eastAsia"/>
          <w:color w:val="000000"/>
          <w:sz w:val="24"/>
          <w:szCs w:val="24"/>
          <w:lang w:val="en-US" w:eastAsia="zh-CN"/>
        </w:rPr>
        <w:t>1</w:t>
      </w:r>
      <w:r>
        <w:rPr>
          <w:rFonts w:hint="eastAsia" w:hAnsi="宋体"/>
          <w:color w:val="000000"/>
          <w:sz w:val="24"/>
          <w:szCs w:val="24"/>
        </w:rPr>
        <w:t>）若存在不予退还投标人投标保证金的情形，由</w:t>
      </w:r>
      <w:r>
        <w:rPr>
          <w:rFonts w:hint="eastAsia"/>
          <w:color w:val="000000"/>
          <w:sz w:val="24"/>
          <w:szCs w:val="24"/>
          <w:lang w:eastAsia="zh-CN"/>
        </w:rPr>
        <w:t>招标人</w:t>
      </w:r>
      <w:r>
        <w:rPr>
          <w:rFonts w:hint="eastAsia" w:hAnsi="宋体"/>
          <w:color w:val="000000"/>
          <w:sz w:val="24"/>
          <w:szCs w:val="24"/>
        </w:rPr>
        <w:t>直接予以收缴。</w:t>
      </w:r>
    </w:p>
    <w:p>
      <w:pPr>
        <w:pStyle w:val="9"/>
        <w:shd w:val="clear" w:color="auto" w:fill="FFFFFF"/>
        <w:spacing w:before="0" w:beforeAutospacing="0" w:after="0" w:afterAutospacing="0" w:line="400" w:lineRule="atLeast"/>
        <w:rPr>
          <w:rFonts w:ascii="Times New Roman" w:hAnsi="Times New Roman" w:cs="Times New Roman"/>
          <w:color w:val="auto"/>
          <w:sz w:val="24"/>
          <w:szCs w:val="24"/>
          <w:highlight w:val="none"/>
        </w:rPr>
      </w:pPr>
      <w:r>
        <w:rPr>
          <w:rFonts w:hint="eastAsia"/>
          <w:b/>
          <w:color w:val="auto"/>
          <w:sz w:val="24"/>
          <w:szCs w:val="24"/>
          <w:highlight w:val="none"/>
          <w:shd w:val="clear" w:color="auto" w:fill="FFFFFF"/>
        </w:rPr>
        <w:t>十一、公告发布媒体</w:t>
      </w:r>
    </w:p>
    <w:p>
      <w:pPr>
        <w:pStyle w:val="9"/>
        <w:shd w:val="clear" w:color="auto" w:fill="FFFFFF"/>
        <w:spacing w:before="0" w:beforeAutospacing="0" w:after="0" w:afterAutospacing="0" w:line="400" w:lineRule="atLeast"/>
        <w:rPr>
          <w:b w:val="0"/>
          <w:bCs w:val="0"/>
        </w:rPr>
      </w:pPr>
      <w:r>
        <w:rPr>
          <w:rFonts w:hint="eastAsia"/>
          <w:b/>
          <w:bCs/>
          <w:color w:val="000000" w:themeColor="text1"/>
          <w:sz w:val="24"/>
          <w:szCs w:val="24"/>
          <w:highlight w:val="none"/>
          <w:shd w:val="clear" w:color="auto" w:fill="FFFFFF"/>
          <w:lang w:eastAsia="zh-CN"/>
          <w14:textFill>
            <w14:solidFill>
              <w14:schemeClr w14:val="tx1"/>
            </w14:solidFill>
          </w14:textFill>
        </w:rPr>
        <w:t>安徽百士德工程咨询有限公司网站公示</w:t>
      </w:r>
      <w:r>
        <w:rPr>
          <w:rFonts w:hint="eastAsia"/>
          <w:b w:val="0"/>
          <w:bCs w:val="0"/>
          <w:color w:val="000000" w:themeColor="text1"/>
          <w:sz w:val="24"/>
          <w:szCs w:val="24"/>
          <w:highlight w:val="none"/>
          <w:shd w:val="clear" w:color="auto" w:fill="FFFFFF"/>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83248"/>
    <w:rsid w:val="03DB15FE"/>
    <w:rsid w:val="0B3046A8"/>
    <w:rsid w:val="16C97EED"/>
    <w:rsid w:val="1FB101C9"/>
    <w:rsid w:val="37483248"/>
    <w:rsid w:val="3EDC6BC9"/>
    <w:rsid w:val="45A3455E"/>
    <w:rsid w:val="4DD90024"/>
    <w:rsid w:val="52C72D12"/>
    <w:rsid w:val="572C1DF1"/>
    <w:rsid w:val="59950130"/>
    <w:rsid w:val="686B69EF"/>
    <w:rsid w:val="6BF86A95"/>
    <w:rsid w:val="6D202DA6"/>
    <w:rsid w:val="7063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keepNext/>
      <w:keepLines/>
      <w:spacing w:before="340" w:after="330" w:line="578" w:lineRule="atLeast"/>
      <w:jc w:val="center"/>
      <w:outlineLvl w:val="0"/>
    </w:pPr>
    <w:rPr>
      <w:b/>
      <w:bCs/>
      <w:color w:val="auto"/>
      <w:kern w:val="44"/>
      <w:sz w:val="36"/>
      <w:szCs w:val="44"/>
      <w:u w:val="none" w:color="auto"/>
    </w:rPr>
  </w:style>
  <w:style w:type="paragraph" w:styleId="4">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5">
    <w:name w:val="Body Text Indent"/>
    <w:basedOn w:val="1"/>
    <w:next w:val="6"/>
    <w:qFormat/>
    <w:uiPriority w:val="0"/>
    <w:pPr>
      <w:widowControl w:val="0"/>
      <w:spacing w:after="120" w:line="240" w:lineRule="auto"/>
      <w:ind w:left="420" w:leftChars="200"/>
      <w:textAlignment w:val="auto"/>
    </w:pPr>
    <w:rPr>
      <w:color w:val="auto"/>
      <w:kern w:val="2"/>
      <w:szCs w:val="24"/>
      <w:u w:val="none" w:color="auto"/>
    </w:rPr>
  </w:style>
  <w:style w:type="paragraph" w:styleId="6">
    <w:name w:val="envelope return"/>
    <w:basedOn w:val="1"/>
    <w:unhideWhenUsed/>
    <w:qFormat/>
    <w:uiPriority w:val="99"/>
    <w:pPr>
      <w:snapToGrid w:val="0"/>
      <w:spacing w:beforeLines="0" w:afterLines="0"/>
    </w:pPr>
    <w:rPr>
      <w:rFonts w:hint="eastAsia" w:ascii="Arial" w:hAnsi="Arial"/>
      <w:sz w:val="24"/>
    </w:rPr>
  </w:style>
  <w:style w:type="paragraph" w:styleId="7">
    <w:name w:val="Body Text First Indent 2"/>
    <w:basedOn w:val="5"/>
    <w:next w:val="8"/>
    <w:unhideWhenUsed/>
    <w:qFormat/>
    <w:uiPriority w:val="99"/>
    <w:pPr>
      <w:spacing w:beforeLines="0" w:afterLines="0"/>
      <w:ind w:firstLine="420" w:firstLineChars="200"/>
    </w:pPr>
    <w:rPr>
      <w:rFonts w:hint="eastAsia"/>
      <w:kern w:val="2"/>
      <w:sz w:val="21"/>
    </w:rPr>
  </w:style>
  <w:style w:type="paragraph" w:styleId="8">
    <w:name w:val="List"/>
    <w:basedOn w:val="1"/>
    <w:qFormat/>
    <w:uiPriority w:val="0"/>
    <w:pPr>
      <w:ind w:left="420" w:hanging="420"/>
    </w:pPr>
  </w:style>
  <w:style w:type="paragraph" w:styleId="9">
    <w:name w:val="Normal (Web)"/>
    <w:basedOn w:val="1"/>
    <w:next w:val="1"/>
    <w:qFormat/>
    <w:uiPriority w:val="0"/>
    <w:pPr>
      <w:spacing w:before="100" w:beforeAutospacing="1" w:after="100" w:afterAutospacing="1" w:line="240" w:lineRule="auto"/>
      <w:jc w:val="left"/>
      <w:textAlignment w:val="auto"/>
    </w:pPr>
    <w:rPr>
      <w:rFonts w:ascii="宋体" w:hAnsi="宋体" w:cs="宋体"/>
      <w:color w:val="auto"/>
      <w:sz w:val="24"/>
      <w:szCs w:val="24"/>
      <w:u w:val="none" w:color="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2021-03-23T22:43:00Z</dcterms:created>
  <dc:creator>Administrator</dc:creator>
  <cp:lastModifiedBy>Administrator</cp:lastModifiedBy>
  <dcterms:modified xsi:type="dcterms:W3CDTF">2021-04-20T00:10:08Z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