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480" w:after="480" w:line="288" w:lineRule="auto"/>
        <w:ind w:left="0"/>
      </w:pPr>
      <w:r>
        <w:rPr>
          <w:rFonts w:eastAsia="等线" w:ascii="Arial" w:cs="Arial" w:hAnsi="Arial"/>
          <w:b w:val="true"/>
          <w:sz w:val="52"/>
        </w:rPr>
        <w:t>2026年8月抽签高并发活动云资源扩容及技术服务报价单（工程师版）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报价日期</w:t>
      </w:r>
      <w:r>
        <w:rPr>
          <w:rFonts w:eastAsia="等线" w:ascii="Arial" w:cs="Arial" w:hAnsi="Arial"/>
          <w:sz w:val="22"/>
        </w:rPr>
        <w:t>：2026年07月29日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适用场景</w:t>
      </w:r>
      <w:r>
        <w:rPr>
          <w:rFonts w:eastAsia="等线" w:ascii="Arial" w:cs="Arial" w:hAnsi="Arial"/>
          <w:sz w:val="22"/>
        </w:rPr>
        <w:t>：客户2026年8月18日-8月23日抽签营销专项活动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场景技术评估</w:t>
      </w:r>
      <w:r>
        <w:rPr>
          <w:rFonts w:eastAsia="等线" w:ascii="Arial" w:cs="Arial" w:hAnsi="Arial"/>
          <w:sz w:val="22"/>
        </w:rPr>
        <w:t>：本次活动为期6天，属于短期突发性高并发业务，预估日均访问量50万次，瞬时流量峰值高、访问集中，常规存量资源无法承载，存在页面卡顿、接口超时、服务器过载、被恶意攻击刷量、数据库查询阻塞等风险，需针对性完成安全防护、负载分发、算力扩容、数据库分流优化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0" w:id="0"/>
      <w:r>
        <w:rPr>
          <w:rFonts w:eastAsia="等线" w:ascii="Arial" w:cs="Arial" w:hAnsi="Arial"/>
          <w:b w:val="true"/>
          <w:sz w:val="32"/>
        </w:rPr>
        <w:t>一、整体技术优化方案（工程师定制）</w:t>
      </w:r>
      <w:bookmarkEnd w:id="0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结合本次</w:t>
      </w:r>
      <w:r>
        <w:rPr>
          <w:rFonts w:eastAsia="等线" w:ascii="Arial" w:cs="Arial" w:hAnsi="Arial"/>
          <w:b w:val="true"/>
          <w:sz w:val="22"/>
        </w:rPr>
        <w:t>短期高流量、非长期常态化</w:t>
      </w:r>
      <w:r>
        <w:rPr>
          <w:rFonts w:eastAsia="等线" w:ascii="Arial" w:cs="Arial" w:hAnsi="Arial"/>
          <w:sz w:val="22"/>
        </w:rPr>
        <w:t>的业务特性，从成本最优、稳定性最高、部署高效三个维度制定方案，核心启用</w:t>
      </w:r>
      <w:r>
        <w:rPr>
          <w:rFonts w:eastAsia="等线" w:ascii="Arial" w:cs="Arial" w:hAnsi="Arial"/>
          <w:b w:val="true"/>
          <w:sz w:val="22"/>
        </w:rPr>
        <w:t>按量计费模式</w:t>
      </w:r>
      <w:r>
        <w:rPr>
          <w:rFonts w:eastAsia="等线" w:ascii="Arial" w:cs="Arial" w:hAnsi="Arial"/>
          <w:sz w:val="22"/>
        </w:rPr>
        <w:t>，摒弃包年包月计费，避免短期活动产生闲置资源费用，最大化节省客户成本。</w:t>
      </w:r>
      <w:r>
        <w:rPr>
          <w:rFonts w:eastAsia="等线" w:ascii="Arial" w:cs="Arial" w:hAnsi="Arial"/>
          <w:sz w:val="22"/>
        </w:rPr>
        <w:t>本次人工技术服务费合计20000元，对应以下每一项专项技术服务，明细清晰、分项落地，</w:t>
      </w:r>
      <w:r>
        <w:rPr>
          <w:rFonts w:eastAsia="等线" w:ascii="Arial" w:cs="Arial" w:hAnsi="Arial"/>
          <w:sz w:val="22"/>
        </w:rPr>
        <w:t>具体优化内容</w:t>
      </w:r>
      <w:r>
        <w:rPr>
          <w:rFonts w:eastAsia="等线" w:ascii="Arial" w:cs="Arial" w:hAnsi="Arial"/>
          <w:sz w:val="22"/>
        </w:rPr>
        <w:t>及对应费用</w:t>
      </w:r>
      <w:r>
        <w:rPr>
          <w:rFonts w:eastAsia="等线" w:ascii="Arial" w:cs="Arial" w:hAnsi="Arial"/>
          <w:sz w:val="22"/>
        </w:rPr>
        <w:t>如下：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施工周期说明</w:t>
      </w:r>
      <w:r>
        <w:rPr>
          <w:rFonts w:eastAsia="等线" w:ascii="Arial" w:cs="Arial" w:hAnsi="Arial"/>
          <w:sz w:val="22"/>
        </w:rPr>
        <w:t>：7月31日-8月16日完成全部技术优化与部署压测；8月16日-8月23日安排双人轮岗值守保障；技术优化施工期间，小程序及后台将择夜间低峰时段短暂停服升级，不影响日常正常业务。</w:t>
      </w:r>
    </w:p>
    <w:p>
      <w:pPr>
        <w:numPr>
          <w:numId w:val="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WAF流量安全防护升级（专项服务费：4000元）</w:t>
      </w:r>
      <w:r>
        <w:rPr>
          <w:rFonts w:eastAsia="等线" w:ascii="Arial" w:cs="Arial" w:hAnsi="Arial"/>
          <w:sz w:val="22"/>
        </w:rPr>
        <w:t>：包含活动前期安全策略调研、防护规则定制、CC攻击防护、恶意爬虫/刷票拦截、SQL注入/XSS漏洞防护配置、异常流量清洗策略调试、黑白名单配置、上线前安全压测、漏洞修复优化。保障日均50万访问下业务安全稳定，杜绝恶意薅奖、刷票、攻击瘫痪风险，适配抽签活动公平性要求。</w:t>
      </w:r>
    </w:p>
    <w:p>
      <w:pPr>
        <w:numPr>
          <w:numId w:val="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负载均衡配置优化（专项服务费：3500元）</w:t>
      </w:r>
      <w:r>
        <w:rPr>
          <w:rFonts w:eastAsia="等线" w:ascii="Arial" w:cs="Arial" w:hAnsi="Arial"/>
          <w:sz w:val="22"/>
        </w:rPr>
        <w:t>：针对高并发场景重新梳理流量分发架构，优化权重分发策略、会话保持规则、健康检查阈值、故障自动切换机制，适配峰值突发流量，解决单节点压测过载问题，完成全量流量模拟测试、参数调优、异常兜底配置，保障请求均匀分流。</w:t>
      </w:r>
    </w:p>
    <w:p>
      <w:pPr>
        <w:numPr>
          <w:numId w:val="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ECS主机多节点扩容部署（专项服务费：4500元）</w:t>
      </w:r>
      <w:r>
        <w:rPr>
          <w:rFonts w:eastAsia="等线" w:ascii="Arial" w:cs="Arial" w:hAnsi="Arial"/>
          <w:sz w:val="22"/>
        </w:rPr>
        <w:t>：根据50万日均访问量级测算扩容节点数量，完成多台ECS节点初始化、环境同步、业务代码部署、服务集群接入、节点健康状态调试、集群联动测试、高并发压测调优，实现算力横向扩容，彻底解决CPU、内存满载、接口超时、页面卡顿问题。</w:t>
      </w:r>
    </w:p>
    <w:p>
      <w:pPr>
        <w:numPr>
          <w:numId w:val="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PolarDB数据库只读节点扩容与读写分离搭建（专项服务费：4000元）</w:t>
      </w:r>
      <w:r>
        <w:rPr>
          <w:rFonts w:eastAsia="等线" w:ascii="Arial" w:cs="Arial" w:hAnsi="Arial"/>
          <w:sz w:val="22"/>
        </w:rPr>
        <w:t>：新增数据库只读节点、配置主从同步、搭建读写分离架构，拆分查询流量与写入流量，配置SQL路由规则、慢查询优化、数据库压力压测、稳定性调优，释放主库压力，解决高并发查询阻塞、数据加载延迟问题。</w:t>
      </w:r>
    </w:p>
    <w:p>
      <w:pPr>
        <w:numPr>
          <w:numId w:val="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项目整体调试、联调、全量压测（专项服务费：2000元）</w:t>
      </w:r>
      <w:r>
        <w:rPr>
          <w:rFonts w:eastAsia="等线" w:ascii="Arial" w:cs="Arial" w:hAnsi="Arial"/>
          <w:sz w:val="22"/>
        </w:rPr>
        <w:t>：完成整体架构联调、业务全链路测试、高低峰流量模拟、故障模拟演练、整体稳定性验收，统一优化系统兼容问题，确保所有扩容、安全、负载配置协同生效，满足活动高并发标准。</w:t>
      </w:r>
    </w:p>
    <w:p>
      <w:pPr>
        <w:numPr>
          <w:numId w:val="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活动期双人轮岗全天候值守保障（专项服务费：2000元）</w:t>
      </w:r>
      <w:r>
        <w:rPr>
          <w:rFonts w:eastAsia="等线" w:ascii="Arial" w:cs="Arial" w:hAnsi="Arial"/>
          <w:sz w:val="22"/>
        </w:rPr>
        <w:t>：8月16日-8月23日全程技术值守，安排两名工程师轮流在岗，7×24小时监控流量、服务器、数据库、安全防护状态，实时处理突发异常、拦截恶意攻击、排查系统故障，保障活动零故障稳定运行。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" w:id="1"/>
      <w:r>
        <w:rPr>
          <w:rFonts w:eastAsia="等线" w:ascii="Arial" w:cs="Arial" w:hAnsi="Arial"/>
          <w:b w:val="true"/>
          <w:sz w:val="32"/>
        </w:rPr>
        <w:t>二、计费方式选型说明（核心成本优化建议）</w:t>
      </w:r>
      <w:bookmarkEnd w:id="1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本次活动仅6天，属于短期突发性业务，</w:t>
      </w:r>
      <w:r>
        <w:rPr>
          <w:rFonts w:eastAsia="等线" w:ascii="Arial" w:cs="Arial" w:hAnsi="Arial"/>
          <w:b w:val="true"/>
          <w:sz w:val="22"/>
        </w:rPr>
        <w:t>强烈建议全部资源采用按量计费模式</w:t>
      </w:r>
      <w:r>
        <w:rPr>
          <w:rFonts w:eastAsia="等线" w:ascii="Arial" w:cs="Arial" w:hAnsi="Arial"/>
          <w:sz w:val="22"/>
        </w:rPr>
        <w:t>，不推荐包月/包年套餐：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1.  包月包年模式需支付整月固定费用，活动结束后资源闲置，成本利用率极低，性价比差；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2.  按量计费模式为「即用即扣、闲置不计费」，仅针对活动期间实际产生的流量、算力、数据库资源消耗扣费，贴合短期活动需求，成本精准可控；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3.  操作方式：阿里云账户提前充值备用金额度，活动期间系统自动按量抵扣，活动结束后可释放所有临时扩容资源，停止扣费，无后续冗余费用。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2" w:id="2"/>
      <w:r>
        <w:rPr>
          <w:rFonts w:eastAsia="等线" w:ascii="Arial" w:cs="Arial" w:hAnsi="Arial"/>
          <w:b w:val="true"/>
          <w:sz w:val="32"/>
        </w:rPr>
        <w:t>三、费用明细报价</w:t>
      </w:r>
      <w:bookmarkEnd w:id="2"/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3" w:id="3"/>
      <w:r>
        <w:rPr>
          <w:rFonts w:eastAsia="等线" w:ascii="Arial" w:cs="Arial" w:hAnsi="Arial"/>
          <w:b w:val="true"/>
          <w:sz w:val="30"/>
        </w:rPr>
        <w:t>1.  技术人工服务费（固定费用）</w:t>
      </w:r>
      <w:bookmarkEnd w:id="3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合计费用：20000元（含税全包）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费用明细拆解：</w:t>
      </w:r>
    </w:p>
    <w:p>
      <w:pPr>
        <w:numPr>
          <w:numId w:val="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前期部署调试总费用（12000元）</w:t>
      </w:r>
      <w:r>
        <w:rPr>
          <w:rFonts w:eastAsia="等线" w:ascii="Arial" w:cs="Arial" w:hAnsi="Arial"/>
          <w:sz w:val="22"/>
        </w:rPr>
        <w:t>：包含WAF安全部署调试4000元、负载均衡优化3500元、ECS多节点扩容部署4500元，合计12000元。服务周期为7月31日-8月16日，完成所有架构升级、资源扩容、安全配置、全链路压测验收工作。</w:t>
      </w:r>
    </w:p>
    <w:p>
      <w:pPr>
        <w:numPr>
          <w:numId w:val="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活动全程双人值守运维保障费（8000元）</w:t>
      </w:r>
      <w:r>
        <w:rPr>
          <w:rFonts w:eastAsia="等线" w:ascii="Arial" w:cs="Arial" w:hAnsi="Arial"/>
          <w:sz w:val="22"/>
        </w:rPr>
        <w:t>：包含数据库读写分离搭建4000元、全项目整体联调压测2000元、8月16日-8月23日双人轮岗值守保障2000元，合计8000元。全程实时监控系统运行、处理突发故障、拦截恶意流量，保障活动稳定运行。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服务周期：2026年8月18日-8月23日（全程6天活动保障）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服务内容：涵盖前期所有资源部署、配置调试、压力测试、安全优化，以及活动期间专人全天候在岗看管、实时运维、故障应急处置，活动结束后完成临时资源释放、原有配置还原、整体运行数据复盘、售后技术答疑等全流程人工服务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4" w:id="4"/>
      <w:r>
        <w:rPr>
          <w:rFonts w:eastAsia="等线" w:ascii="Arial" w:cs="Arial" w:hAnsi="Arial"/>
          <w:b w:val="true"/>
          <w:sz w:val="30"/>
        </w:rPr>
        <w:t>2.  阿里云资源预存费用（按量实时抵扣）</w:t>
      </w:r>
      <w:bookmarkEnd w:id="4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预存备用金额度：8000元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费用说明：该费用充值至客户自有阿里云账户，仅用于抵扣本次活动期间WAF防护、负载均衡、ECS扩容节点、PolarDB只读节点产生的按量计费资源费用。根据日均50万次访问量预估，8000元额度可完全覆盖本次6天高并发资源消耗，结余资金留存客户账户，可用于后续业务使用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5" w:id="5"/>
      <w:r>
        <w:rPr>
          <w:rFonts w:eastAsia="等线" w:ascii="Arial" w:cs="Arial" w:hAnsi="Arial"/>
          <w:b w:val="true"/>
          <w:sz w:val="32"/>
        </w:rPr>
        <w:t>四、总预算汇总</w:t>
      </w:r>
      <w:bookmarkEnd w:id="5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1.  技术人工服务费：20000元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2.  阿里云资源预存费用：8000元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本次项目合计总预算：28000元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6" w:id="6"/>
      <w:r>
        <w:rPr>
          <w:rFonts w:eastAsia="等线" w:ascii="Arial" w:cs="Arial" w:hAnsi="Arial"/>
          <w:b w:val="true"/>
          <w:sz w:val="32"/>
        </w:rPr>
        <w:t>五、售后保障说明</w:t>
      </w:r>
      <w:bookmarkEnd w:id="6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1.  稳定性保障：所有扩容配置均经过高并发压测验证，适配日均50万访问量级，规避卡顿、宕机、数据异常等问题；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2.  成本保障：全程采用按量计费，无闲置资源扣费，活动结束第一时间协助释放临时资源，杜绝不必要支出；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3.  应急保障：活动期间工程师全程值守，实时监控流量、服务器、数据库运行状态，突发问题分钟级响应处理。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|（注：部分内容可能由 AI 生成）</w:t>
      </w:r>
    </w:p>
    <w:sectPr>
      <w:footerReference w:type="default" r:id="rId3"/>
      <w:headerReference w:type="default" r:id="rId5"/>
      <w:pgSz w:orient="portrait" w:h="16840" w:w="11905"/>
    </w:sectPr>
  </w:body>
</w:document>
</file>

<file path=word/footer1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>
  <w:p/>
</w:hdr>
</file>

<file path=word/numbering.xml><?xml version="1.0" encoding="utf-8"?>
<w:numbering xmlns:w="http://schemas.openxmlformats.org/wordprocessingml/2006/main">
  <w:abstractNum w:abstractNumId="572599">
    <w:lvl>
      <w:numFmt w:val="bullet"/>
      <w:suff w:val="tab"/>
      <w:lvlText w:val="•"/>
      <w:rPr>
        <w:color w:val="3370ff"/>
      </w:rPr>
    </w:lvl>
  </w:abstractNum>
  <w:abstractNum w:abstractNumId="572600">
    <w:lvl>
      <w:numFmt w:val="bullet"/>
      <w:suff w:val="tab"/>
      <w:lvlText w:val="•"/>
      <w:rPr>
        <w:color w:val="3370ff"/>
      </w:rPr>
    </w:lvl>
  </w:abstractNum>
  <w:abstractNum w:abstractNumId="572601">
    <w:lvl>
      <w:numFmt w:val="bullet"/>
      <w:suff w:val="tab"/>
      <w:lvlText w:val="•"/>
      <w:rPr>
        <w:color w:val="3370ff"/>
      </w:rPr>
    </w:lvl>
  </w:abstractNum>
  <w:abstractNum w:abstractNumId="572602">
    <w:lvl>
      <w:numFmt w:val="bullet"/>
      <w:suff w:val="tab"/>
      <w:lvlText w:val="•"/>
      <w:rPr>
        <w:color w:val="3370ff"/>
      </w:rPr>
    </w:lvl>
  </w:abstractNum>
  <w:abstractNum w:abstractNumId="572603">
    <w:lvl>
      <w:numFmt w:val="bullet"/>
      <w:suff w:val="tab"/>
      <w:lvlText w:val="•"/>
      <w:rPr>
        <w:color w:val="3370ff"/>
      </w:rPr>
    </w:lvl>
  </w:abstractNum>
  <w:abstractNum w:abstractNumId="572604">
    <w:lvl>
      <w:numFmt w:val="bullet"/>
      <w:suff w:val="tab"/>
      <w:lvlText w:val="•"/>
      <w:rPr>
        <w:color w:val="3370ff"/>
      </w:rPr>
    </w:lvl>
  </w:abstractNum>
  <w:abstractNum w:abstractNumId="572605">
    <w:lvl>
      <w:numFmt w:val="bullet"/>
      <w:suff w:val="tab"/>
      <w:lvlText w:val="•"/>
      <w:rPr>
        <w:color w:val="3370ff"/>
      </w:rPr>
    </w:lvl>
  </w:abstractNum>
  <w:abstractNum w:abstractNumId="572606">
    <w:lvl>
      <w:numFmt w:val="bullet"/>
      <w:suff w:val="tab"/>
      <w:lvlText w:val="•"/>
      <w:rPr>
        <w:color w:val="3370ff"/>
      </w:rPr>
    </w:lvl>
  </w:abstractNum>
  <w:num w:numId="1">
    <w:abstractNumId w:val="572599"/>
  </w:num>
  <w:num w:numId="2">
    <w:abstractNumId w:val="572600"/>
  </w:num>
  <w:num w:numId="3">
    <w:abstractNumId w:val="572601"/>
  </w:num>
  <w:num w:numId="4">
    <w:abstractNumId w:val="572602"/>
  </w:num>
  <w:num w:numId="5">
    <w:abstractNumId w:val="572603"/>
  </w:num>
  <w:num w:numId="6">
    <w:abstractNumId w:val="572604"/>
  </w:num>
  <w:num w:numId="7">
    <w:abstractNumId w:val="572605"/>
  </w:num>
  <w:num w:numId="8">
    <w:abstractNumId w:val="572606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footer1.xml" Type="http://schemas.openxmlformats.org/officeDocument/2006/relationships/footer"/><Relationship Id="rId4" Target="numbering.xml" Type="http://schemas.openxmlformats.org/officeDocument/2006/relationships/numbering"/><Relationship Id="rId5" Target="header1.xml" Type="http://schemas.openxmlformats.org/officeDocument/2006/relationships/header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2026-07-29T06:48:11Z</dcterms:created>
  <dc:creator>Apache POI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{"Label":"1","ContentProducer":"001191110102MACQD9K64010000","ProduceID":"7667838130171251700","ReservedCode1":"","ContentPropagator":"","PropagateID":"","ReservedCode2":""}</vt:lpwstr>
  </property>
</Properties>
</file>